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D21954" w14:textId="77777777"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14:paraId="7522A8CB"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14:paraId="10AF0D4D" w14:textId="5CDDDE38" w:rsidR="000821D1" w:rsidRDefault="00E32603" w:rsidP="004A53FB">
      <w:pPr>
        <w:rPr>
          <w:b/>
        </w:rPr>
      </w:pPr>
      <w:r w:rsidRPr="00E32603">
        <w:rPr>
          <w:b/>
        </w:rPr>
        <w:t>Title of Concept OR Project Idea:</w:t>
      </w:r>
      <w:r w:rsidR="00AD690C">
        <w:rPr>
          <w:b/>
        </w:rPr>
        <w:t xml:space="preserve"> </w:t>
      </w:r>
    </w:p>
    <w:p w14:paraId="4DB2688F" w14:textId="77D80860" w:rsidR="004A53FB" w:rsidRDefault="000821D1" w:rsidP="00B74EF4">
      <w:pPr>
        <w:pStyle w:val="ListParagraph"/>
        <w:ind w:left="1800"/>
        <w:rPr>
          <w:b/>
        </w:rPr>
      </w:pPr>
      <w:r w:rsidRPr="007C0224">
        <w:rPr>
          <w:b/>
          <w:highlight w:val="yellow"/>
        </w:rPr>
        <w:t xml:space="preserve">AITUTAKI RENEWABLE </w:t>
      </w:r>
      <w:r w:rsidR="00B74EF4" w:rsidRPr="007C0224">
        <w:rPr>
          <w:b/>
          <w:highlight w:val="yellow"/>
        </w:rPr>
        <w:t>ENERGY PROJECT</w:t>
      </w:r>
      <w:r w:rsidR="00B97716" w:rsidRPr="007C0224">
        <w:rPr>
          <w:b/>
          <w:highlight w:val="yellow"/>
        </w:rPr>
        <w:t xml:space="preserve"> – Electricity Sector</w:t>
      </w:r>
    </w:p>
    <w:p w14:paraId="506216AE" w14:textId="37EF7839" w:rsidR="00E32603" w:rsidRDefault="00E32603" w:rsidP="00B74EF4">
      <w:pPr>
        <w:pStyle w:val="ListParagraph"/>
        <w:ind w:left="1800"/>
      </w:pPr>
    </w:p>
    <w:p w14:paraId="5E0CFE28" w14:textId="7E10B335" w:rsidR="004A53FB" w:rsidRPr="00E32603" w:rsidRDefault="004A53FB" w:rsidP="004A53FB">
      <w:pPr>
        <w:rPr>
          <w:b/>
        </w:rPr>
      </w:pPr>
      <w:r w:rsidRPr="00E32603">
        <w:rPr>
          <w:b/>
        </w:rPr>
        <w:t>Date of Submission</w:t>
      </w:r>
      <w:r w:rsidR="00B74EF4">
        <w:rPr>
          <w:b/>
        </w:rPr>
        <w:t>:</w:t>
      </w:r>
      <w:r w:rsidR="00B74EF4">
        <w:rPr>
          <w:b/>
        </w:rPr>
        <w:tab/>
        <w:t>25</w:t>
      </w:r>
      <w:r w:rsidR="00B74EF4" w:rsidRPr="00B74EF4">
        <w:rPr>
          <w:b/>
          <w:vertAlign w:val="superscript"/>
        </w:rPr>
        <w:t>th</w:t>
      </w:r>
      <w:r w:rsidR="00B74EF4">
        <w:rPr>
          <w:b/>
        </w:rPr>
        <w:t xml:space="preserve"> October 2018</w:t>
      </w:r>
    </w:p>
    <w:p w14:paraId="337F226B" w14:textId="69F44FFA" w:rsidR="004A53FB" w:rsidRDefault="004A53FB" w:rsidP="004A53FB">
      <w:pPr>
        <w:pBdr>
          <w:bottom w:val="single" w:sz="6" w:space="1" w:color="auto"/>
        </w:pBdr>
        <w:rPr>
          <w:b/>
        </w:rPr>
      </w:pPr>
      <w:r w:rsidRPr="00E32603">
        <w:rPr>
          <w:b/>
        </w:rPr>
        <w:t>Submitted by and Contact</w:t>
      </w:r>
      <w:r w:rsidR="00B74EF4">
        <w:rPr>
          <w:b/>
        </w:rPr>
        <w:t>: Tangi TEREAPII, Director Renewable Energy Development Division, OPM</w:t>
      </w:r>
    </w:p>
    <w:p w14:paraId="61B7F9BA" w14:textId="77777777" w:rsidR="00B74EF4" w:rsidRPr="00E32603" w:rsidRDefault="00B74EF4"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14:paraId="6252F94F" w14:textId="77777777" w:rsidTr="009502EA">
        <w:tc>
          <w:tcPr>
            <w:tcW w:w="2965" w:type="dxa"/>
            <w:vAlign w:val="center"/>
          </w:tcPr>
          <w:p w14:paraId="2F582D34" w14:textId="77777777"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14:paraId="64CADE8F" w14:textId="77777777" w:rsidR="00E32603" w:rsidRPr="00F97655" w:rsidRDefault="00E32603" w:rsidP="00E32603">
            <w:pPr>
              <w:rPr>
                <w:rFonts w:cs="Arial"/>
                <w:color w:val="000000"/>
                <w:sz w:val="4"/>
                <w:szCs w:val="4"/>
                <w:u w:val="single"/>
                <w:lang w:eastAsia="ja-JP"/>
              </w:rPr>
            </w:pPr>
          </w:p>
          <w:p w14:paraId="55C8F667" w14:textId="77777777"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19A1C12F" w14:textId="77777777" w:rsidR="00E32603" w:rsidRPr="00F97655" w:rsidRDefault="00E32603" w:rsidP="00E32603">
            <w:pPr>
              <w:rPr>
                <w:rFonts w:cs="Arial"/>
                <w:color w:val="000000"/>
                <w:sz w:val="4"/>
                <w:szCs w:val="4"/>
                <w:u w:val="single"/>
                <w:lang w:eastAsia="ja-JP"/>
              </w:rPr>
            </w:pPr>
          </w:p>
          <w:p w14:paraId="6D7CF3E6" w14:textId="0A0CC3AE" w:rsidR="00E32603" w:rsidRPr="00F97655" w:rsidRDefault="009A4EFA" w:rsidP="00E32603">
            <w:pPr>
              <w:rPr>
                <w:rFonts w:cs="Arial"/>
                <w:color w:val="000000"/>
                <w:sz w:val="20"/>
                <w:lang w:eastAsia="ja-JP"/>
              </w:rPr>
            </w:pPr>
            <w:sdt>
              <w:sdtPr>
                <w:rPr>
                  <w:rFonts w:cs="Arial"/>
                  <w:color w:val="000000"/>
                  <w:sz w:val="20"/>
                  <w:lang w:eastAsia="ja-JP"/>
                </w:rPr>
                <w:id w:val="148488930"/>
                <w14:checkbox>
                  <w14:checked w14:val="1"/>
                  <w14:checkedState w14:val="2612" w14:font="Arial"/>
                  <w14:uncheckedState w14:val="2610" w14:font="Arial"/>
                </w14:checkbox>
              </w:sdtPr>
              <w:sdtEndPr/>
              <w:sdtContent>
                <w:r w:rsidR="00B74EF4">
                  <w:rPr>
                    <w:rFonts w:ascii="Segoe UI Symbol" w:hAnsi="Segoe UI Symbol" w:cs="Segoe UI Symbol"/>
                    <w:color w:val="000000"/>
                    <w:sz w:val="20"/>
                    <w:lang w:eastAsia="ja-JP"/>
                  </w:rPr>
                  <w:t>☒</w:t>
                </w:r>
              </w:sdtContent>
            </w:sdt>
            <w:r w:rsidR="00E32603" w:rsidRPr="00F97655">
              <w:rPr>
                <w:rFonts w:cs="Arial"/>
                <w:color w:val="000000"/>
                <w:sz w:val="20"/>
                <w:lang w:eastAsia="ja-JP"/>
              </w:rPr>
              <w:tab/>
              <w:t xml:space="preserve">Energy access and power generation </w:t>
            </w:r>
          </w:p>
          <w:p w14:paraId="6DA5B7DC" w14:textId="77777777" w:rsidR="00E32603" w:rsidRPr="00F97655" w:rsidRDefault="00E32603" w:rsidP="00E32603">
            <w:pPr>
              <w:rPr>
                <w:rFonts w:cs="Arial"/>
                <w:color w:val="000000"/>
                <w:sz w:val="4"/>
                <w:szCs w:val="4"/>
                <w:lang w:eastAsia="ja-JP"/>
              </w:rPr>
            </w:pPr>
          </w:p>
          <w:p w14:paraId="098B7620" w14:textId="77777777" w:rsidR="00E32603" w:rsidRPr="00F97655" w:rsidRDefault="009A4EFA" w:rsidP="00E32603">
            <w:pPr>
              <w:rPr>
                <w:rFonts w:cs="Arial"/>
                <w:color w:val="000000"/>
                <w:sz w:val="20"/>
                <w:lang w:eastAsia="ja-JP"/>
              </w:rPr>
            </w:pPr>
            <w:sdt>
              <w:sdtPr>
                <w:rPr>
                  <w:rFonts w:cs="Arial"/>
                  <w:color w:val="000000"/>
                  <w:sz w:val="20"/>
                  <w:lang w:eastAsia="ja-JP"/>
                </w:rPr>
                <w:id w:val="-787043692"/>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14:paraId="463F5F33" w14:textId="77777777" w:rsidR="00E32603" w:rsidRPr="00F97655" w:rsidRDefault="00E32603" w:rsidP="00E32603">
            <w:pPr>
              <w:rPr>
                <w:rFonts w:cs="Arial"/>
                <w:color w:val="000000"/>
                <w:sz w:val="4"/>
                <w:szCs w:val="4"/>
                <w:lang w:eastAsia="ja-JP"/>
              </w:rPr>
            </w:pPr>
          </w:p>
          <w:p w14:paraId="0833FC80" w14:textId="77777777" w:rsidR="00E32603" w:rsidRPr="00F97655" w:rsidRDefault="009A4EFA"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4D6A6D3A" w14:textId="77777777" w:rsidR="00E32603" w:rsidRPr="00F97655" w:rsidRDefault="00E32603" w:rsidP="00E32603">
            <w:pPr>
              <w:rPr>
                <w:rFonts w:cs="Arial"/>
                <w:color w:val="000000"/>
                <w:sz w:val="4"/>
                <w:szCs w:val="4"/>
                <w:lang w:eastAsia="ja-JP"/>
              </w:rPr>
            </w:pPr>
          </w:p>
          <w:p w14:paraId="06ED22CA" w14:textId="77777777" w:rsidR="00E32603" w:rsidRPr="00F97655" w:rsidRDefault="009A4EFA" w:rsidP="00E32603">
            <w:pPr>
              <w:rPr>
                <w:rFonts w:cs="Arial"/>
                <w:color w:val="000000"/>
                <w:sz w:val="20"/>
                <w:lang w:eastAsia="ja-JP"/>
              </w:rPr>
            </w:pPr>
            <w:sdt>
              <w:sdtPr>
                <w:rPr>
                  <w:rFonts w:cs="Arial"/>
                  <w:color w:val="000000"/>
                  <w:sz w:val="20"/>
                  <w:lang w:eastAsia="ja-JP"/>
                </w:rPr>
                <w:id w:val="902339625"/>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525C5541" w14:textId="77777777"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3B3F8F75" w14:textId="77777777" w:rsidR="00E32603" w:rsidRPr="00F97655" w:rsidRDefault="00E32603" w:rsidP="00E32603">
            <w:pPr>
              <w:rPr>
                <w:rFonts w:cs="Arial"/>
                <w:color w:val="000000"/>
                <w:sz w:val="4"/>
                <w:szCs w:val="4"/>
                <w:lang w:eastAsia="ja-JP"/>
              </w:rPr>
            </w:pPr>
          </w:p>
          <w:p w14:paraId="106F441D" w14:textId="77777777" w:rsidR="00E32603" w:rsidRPr="00F97655" w:rsidRDefault="009A4EFA" w:rsidP="00E32603">
            <w:pPr>
              <w:rPr>
                <w:rFonts w:cs="Arial"/>
                <w:color w:val="000000"/>
                <w:sz w:val="20"/>
                <w:lang w:eastAsia="ja-JP"/>
              </w:rPr>
            </w:pPr>
            <w:sdt>
              <w:sdtPr>
                <w:rPr>
                  <w:rFonts w:cs="Arial"/>
                  <w:color w:val="000000"/>
                  <w:sz w:val="20"/>
                  <w:lang w:eastAsia="ja-JP"/>
                </w:rPr>
                <w:id w:val="68232994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Most vulnerable people and communities</w:t>
            </w:r>
          </w:p>
          <w:p w14:paraId="1794C063" w14:textId="77777777" w:rsidR="00E32603" w:rsidRPr="00F97655" w:rsidRDefault="00E32603" w:rsidP="00E32603">
            <w:pPr>
              <w:rPr>
                <w:rFonts w:cs="Arial"/>
                <w:color w:val="000000"/>
                <w:sz w:val="4"/>
                <w:szCs w:val="4"/>
                <w:lang w:eastAsia="ja-JP"/>
              </w:rPr>
            </w:pPr>
          </w:p>
          <w:p w14:paraId="40A5641E" w14:textId="77777777" w:rsidR="00E32603" w:rsidRPr="00F97655" w:rsidRDefault="009A4EFA"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23FE97AF" w14:textId="77777777" w:rsidR="00E32603" w:rsidRPr="00F97655" w:rsidRDefault="00E32603" w:rsidP="00E32603">
            <w:pPr>
              <w:rPr>
                <w:rFonts w:cs="Arial"/>
                <w:color w:val="000000"/>
                <w:sz w:val="4"/>
                <w:szCs w:val="4"/>
                <w:lang w:eastAsia="ja-JP"/>
              </w:rPr>
            </w:pPr>
          </w:p>
          <w:p w14:paraId="790DE4AB" w14:textId="77777777" w:rsidR="00E32603" w:rsidRPr="00F97655" w:rsidRDefault="009A4EFA" w:rsidP="00E32603">
            <w:pPr>
              <w:rPr>
                <w:rFonts w:cs="Arial"/>
                <w:color w:val="000000"/>
                <w:sz w:val="20"/>
                <w:lang w:eastAsia="ja-JP"/>
              </w:rPr>
            </w:pPr>
            <w:sdt>
              <w:sdtPr>
                <w:rPr>
                  <w:rFonts w:cs="Arial"/>
                  <w:color w:val="000000"/>
                  <w:sz w:val="20"/>
                  <w:lang w:eastAsia="ja-JP"/>
                </w:rPr>
                <w:id w:val="1900471350"/>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14:paraId="250A7AFE" w14:textId="77777777" w:rsidR="00E32603" w:rsidRPr="00F97655" w:rsidRDefault="00E32603" w:rsidP="00E32603">
            <w:pPr>
              <w:rPr>
                <w:rFonts w:cs="Arial"/>
                <w:color w:val="000000"/>
                <w:sz w:val="4"/>
                <w:szCs w:val="4"/>
                <w:lang w:eastAsia="ja-JP"/>
              </w:rPr>
            </w:pPr>
          </w:p>
          <w:p w14:paraId="1E1D3A51" w14:textId="77777777" w:rsidR="00E32603" w:rsidRPr="00F97655" w:rsidRDefault="009A4EFA"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25B1A21A" w14:textId="77777777" w:rsidTr="009502EA">
        <w:tc>
          <w:tcPr>
            <w:tcW w:w="2965" w:type="dxa"/>
            <w:vAlign w:val="center"/>
          </w:tcPr>
          <w:p w14:paraId="24333B45"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3A126C30" w14:textId="77777777" w:rsidR="00B74EF4" w:rsidRDefault="00B74EF4" w:rsidP="00E32603">
            <w:pPr>
              <w:rPr>
                <w:rFonts w:cs="Arial"/>
                <w:b/>
                <w:color w:val="000000"/>
                <w:sz w:val="20"/>
                <w:szCs w:val="20"/>
                <w:highlight w:val="yellow"/>
                <w:lang w:eastAsia="ja-JP"/>
              </w:rPr>
            </w:pPr>
          </w:p>
          <w:p w14:paraId="5C758B4C" w14:textId="40965194" w:rsidR="00E32603" w:rsidRPr="00B74EF4" w:rsidRDefault="00E32603" w:rsidP="00E32603">
            <w:pPr>
              <w:rPr>
                <w:rFonts w:cs="Arial"/>
                <w:b/>
                <w:color w:val="000000"/>
                <w:sz w:val="20"/>
                <w:szCs w:val="20"/>
                <w:lang w:eastAsia="ja-JP"/>
              </w:rPr>
            </w:pPr>
            <w:r w:rsidRPr="00B74EF4">
              <w:rPr>
                <w:rFonts w:cs="Arial"/>
                <w:b/>
                <w:color w:val="000000"/>
                <w:sz w:val="20"/>
                <w:szCs w:val="20"/>
                <w:highlight w:val="yellow"/>
                <w:lang w:eastAsia="ja-JP"/>
              </w:rPr>
              <w:t xml:space="preserve">Amount: </w:t>
            </w:r>
            <w:r w:rsidR="00917367" w:rsidRPr="00B74EF4">
              <w:rPr>
                <w:rFonts w:cs="Arial"/>
                <w:b/>
                <w:color w:val="000000"/>
                <w:sz w:val="20"/>
                <w:szCs w:val="20"/>
                <w:highlight w:val="yellow"/>
                <w:lang w:eastAsia="ja-JP"/>
              </w:rPr>
              <w:t>NZD</w:t>
            </w:r>
            <w:r w:rsidR="009D1EF4">
              <w:rPr>
                <w:rFonts w:cs="Arial"/>
                <w:b/>
                <w:color w:val="000000"/>
                <w:sz w:val="20"/>
                <w:szCs w:val="20"/>
                <w:highlight w:val="yellow"/>
                <w:lang w:eastAsia="ja-JP"/>
              </w:rPr>
              <w:t>1</w:t>
            </w:r>
            <w:r w:rsidR="007C0224">
              <w:rPr>
                <w:rFonts w:cs="Arial"/>
                <w:b/>
                <w:color w:val="000000"/>
                <w:sz w:val="20"/>
                <w:szCs w:val="20"/>
                <w:highlight w:val="yellow"/>
                <w:lang w:eastAsia="ja-JP"/>
              </w:rPr>
              <w:t>5</w:t>
            </w:r>
            <w:r w:rsidR="00C61974" w:rsidRPr="00B74EF4">
              <w:rPr>
                <w:rFonts w:cs="Arial"/>
                <w:b/>
                <w:color w:val="000000"/>
                <w:sz w:val="20"/>
                <w:szCs w:val="20"/>
                <w:highlight w:val="yellow"/>
                <w:lang w:eastAsia="ja-JP"/>
              </w:rPr>
              <w:t>,000,000</w:t>
            </w:r>
            <w:r w:rsidRPr="00B74EF4">
              <w:rPr>
                <w:rFonts w:cs="Arial"/>
                <w:b/>
                <w:color w:val="000000"/>
                <w:sz w:val="20"/>
                <w:szCs w:val="20"/>
                <w:lang w:eastAsia="ja-JP"/>
              </w:rPr>
              <w:t xml:space="preserve"> </w:t>
            </w:r>
          </w:p>
          <w:p w14:paraId="246DDC85" w14:textId="77777777" w:rsidR="00E32603" w:rsidRPr="000B2111" w:rsidRDefault="00E32603" w:rsidP="00E32603">
            <w:pPr>
              <w:rPr>
                <w:rFonts w:cs="Arial"/>
                <w:color w:val="000000"/>
                <w:sz w:val="20"/>
                <w:szCs w:val="20"/>
                <w:lang w:eastAsia="ja-JP"/>
              </w:rPr>
            </w:pPr>
          </w:p>
        </w:tc>
      </w:tr>
      <w:tr w:rsidR="009502EA" w14:paraId="70186E68" w14:textId="77777777" w:rsidTr="0038511E">
        <w:trPr>
          <w:trHeight w:val="12167"/>
        </w:trPr>
        <w:tc>
          <w:tcPr>
            <w:tcW w:w="9350" w:type="dxa"/>
            <w:gridSpan w:val="2"/>
            <w:vAlign w:val="center"/>
          </w:tcPr>
          <w:p w14:paraId="2AA4735F" w14:textId="77777777"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14:paraId="01EAD8A2" w14:textId="77777777" w:rsidR="009502EA" w:rsidRPr="00F97655"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14:paraId="29857F84" w14:textId="77777777" w:rsidR="009502EA" w:rsidRDefault="009502EA" w:rsidP="00E32603">
            <w:pPr>
              <w:spacing w:before="40" w:after="40"/>
              <w:rPr>
                <w:rFonts w:cs="Arial"/>
                <w:color w:val="808080" w:themeColor="background1" w:themeShade="80"/>
                <w:sz w:val="20"/>
                <w:szCs w:val="20"/>
                <w:lang w:eastAsia="ja-JP"/>
              </w:rPr>
            </w:pPr>
          </w:p>
          <w:p w14:paraId="0179BB6F" w14:textId="77777777" w:rsidR="009502EA" w:rsidRPr="00B74EF4" w:rsidRDefault="00B803D4" w:rsidP="00B74EF4">
            <w:pPr>
              <w:pBdr>
                <w:bottom w:val="single" w:sz="12" w:space="1" w:color="auto"/>
              </w:pBdr>
              <w:spacing w:before="40" w:after="40"/>
              <w:jc w:val="both"/>
              <w:rPr>
                <w:rFonts w:cs="Arial"/>
                <w:b/>
                <w:sz w:val="20"/>
                <w:szCs w:val="20"/>
                <w:lang w:eastAsia="ja-JP"/>
              </w:rPr>
            </w:pPr>
            <w:r w:rsidRPr="00B74EF4">
              <w:rPr>
                <w:rFonts w:cs="Arial"/>
                <w:b/>
                <w:sz w:val="20"/>
                <w:szCs w:val="20"/>
                <w:lang w:eastAsia="ja-JP"/>
              </w:rPr>
              <w:t>Aitutaki Island will soon achieve approximately 24% renewable energy, however, further considerable diesel fuel and greenhouse gas reduction can be achieved</w:t>
            </w:r>
            <w:r w:rsidR="004379FA" w:rsidRPr="00B74EF4">
              <w:rPr>
                <w:rFonts w:cs="Arial"/>
                <w:b/>
                <w:sz w:val="20"/>
                <w:szCs w:val="20"/>
                <w:lang w:eastAsia="ja-JP"/>
              </w:rPr>
              <w:t xml:space="preserve"> through a second stage renewable energy development</w:t>
            </w:r>
            <w:r w:rsidR="00F07C1B" w:rsidRPr="00B74EF4">
              <w:rPr>
                <w:rFonts w:cs="Arial"/>
                <w:b/>
                <w:sz w:val="20"/>
                <w:szCs w:val="20"/>
                <w:lang w:eastAsia="ja-JP"/>
              </w:rPr>
              <w:t>, also opening opportunities to demonstrate solar powered desalination to mitigate exposure to climate vulnerabilities</w:t>
            </w:r>
            <w:r w:rsidRPr="00B74EF4">
              <w:rPr>
                <w:rFonts w:cs="Arial"/>
                <w:b/>
                <w:sz w:val="20"/>
                <w:szCs w:val="20"/>
                <w:lang w:eastAsia="ja-JP"/>
              </w:rPr>
              <w:t xml:space="preserve">. </w:t>
            </w:r>
            <w:r w:rsidR="004379FA" w:rsidRPr="00B74EF4">
              <w:rPr>
                <w:rFonts w:cs="Arial"/>
                <w:b/>
                <w:sz w:val="20"/>
                <w:szCs w:val="20"/>
                <w:lang w:eastAsia="ja-JP"/>
              </w:rPr>
              <w:t>To achieve its Nationally determined GHG targets, Cook Islands</w:t>
            </w:r>
            <w:r w:rsidR="00C61974" w:rsidRPr="00B74EF4">
              <w:rPr>
                <w:rFonts w:cs="Arial"/>
                <w:b/>
                <w:sz w:val="20"/>
                <w:szCs w:val="20"/>
                <w:lang w:eastAsia="ja-JP"/>
              </w:rPr>
              <w:t xml:space="preserve"> Renewable Energy Development Division</w:t>
            </w:r>
            <w:r w:rsidR="004379FA" w:rsidRPr="00B74EF4">
              <w:rPr>
                <w:rFonts w:cs="Arial"/>
                <w:b/>
                <w:sz w:val="20"/>
                <w:szCs w:val="20"/>
                <w:lang w:eastAsia="ja-JP"/>
              </w:rPr>
              <w:t xml:space="preserve"> </w:t>
            </w:r>
            <w:r w:rsidR="00C61974" w:rsidRPr="00B74EF4">
              <w:rPr>
                <w:rFonts w:cs="Arial"/>
                <w:b/>
                <w:sz w:val="20"/>
                <w:szCs w:val="20"/>
                <w:lang w:eastAsia="ja-JP"/>
              </w:rPr>
              <w:t xml:space="preserve">(REDD) </w:t>
            </w:r>
            <w:r w:rsidR="004379FA" w:rsidRPr="00B74EF4">
              <w:rPr>
                <w:rFonts w:cs="Arial"/>
                <w:b/>
                <w:sz w:val="20"/>
                <w:szCs w:val="20"/>
                <w:lang w:eastAsia="ja-JP"/>
              </w:rPr>
              <w:t xml:space="preserve">has planned a staged development for Aitutaki. Stage 2 would include installation </w:t>
            </w:r>
            <w:r w:rsidR="00F07C1B" w:rsidRPr="00B74EF4">
              <w:rPr>
                <w:rFonts w:cs="Arial"/>
                <w:b/>
                <w:sz w:val="20"/>
                <w:szCs w:val="20"/>
                <w:lang w:eastAsia="ja-JP"/>
              </w:rPr>
              <w:t xml:space="preserve">of additional solar generation or </w:t>
            </w:r>
            <w:r w:rsidR="004379FA" w:rsidRPr="00B74EF4">
              <w:rPr>
                <w:rFonts w:cs="Arial"/>
                <w:b/>
                <w:sz w:val="20"/>
                <w:szCs w:val="20"/>
                <w:lang w:eastAsia="ja-JP"/>
              </w:rPr>
              <w:t xml:space="preserve">wind turbines, and battery energy storage boosting renewable energy over 50%, </w:t>
            </w:r>
            <w:r w:rsidR="00C61974" w:rsidRPr="00B74EF4">
              <w:rPr>
                <w:rFonts w:cs="Arial"/>
                <w:b/>
                <w:sz w:val="20"/>
                <w:szCs w:val="20"/>
                <w:lang w:eastAsia="ja-JP"/>
              </w:rPr>
              <w:t>saving 250,000 litres of diesel fuel and 670 t CO</w:t>
            </w:r>
            <w:r w:rsidR="00C61974" w:rsidRPr="00B74EF4">
              <w:rPr>
                <w:rFonts w:cs="Arial"/>
                <w:b/>
                <w:sz w:val="20"/>
                <w:szCs w:val="20"/>
                <w:vertAlign w:val="subscript"/>
                <w:lang w:eastAsia="ja-JP"/>
              </w:rPr>
              <w:t>2</w:t>
            </w:r>
            <w:r w:rsidR="00C61974" w:rsidRPr="00B74EF4">
              <w:rPr>
                <w:rFonts w:cs="Arial"/>
                <w:b/>
                <w:sz w:val="20"/>
                <w:szCs w:val="20"/>
                <w:lang w:eastAsia="ja-JP"/>
              </w:rPr>
              <w:t xml:space="preserve"> per year. </w:t>
            </w:r>
            <w:r w:rsidR="00F07C1B" w:rsidRPr="00B74EF4">
              <w:rPr>
                <w:rFonts w:cs="Arial"/>
                <w:b/>
                <w:sz w:val="20"/>
                <w:szCs w:val="20"/>
                <w:lang w:eastAsia="ja-JP"/>
              </w:rPr>
              <w:t xml:space="preserve">At times when excess generation is available, this will be diverted to a desalination plant to provide fresh drinking water. </w:t>
            </w:r>
            <w:r w:rsidR="00C61974" w:rsidRPr="00B74EF4">
              <w:rPr>
                <w:rFonts w:cs="Arial"/>
                <w:b/>
                <w:sz w:val="20"/>
                <w:szCs w:val="20"/>
                <w:lang w:eastAsia="ja-JP"/>
              </w:rPr>
              <w:t>REDD has a successful history of implementing similar projects, with support of asset owner Cook Islands Infrastructure Corporation.</w:t>
            </w:r>
          </w:p>
          <w:p w14:paraId="36183896"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5A3FB339"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14:paraId="58CB8A1E" w14:textId="77777777" w:rsidR="009502EA" w:rsidRPr="00F97655" w:rsidRDefault="009502EA" w:rsidP="00E32603">
            <w:pPr>
              <w:rPr>
                <w:rFonts w:cs="Arial"/>
                <w:i/>
                <w:color w:val="808080" w:themeColor="background1" w:themeShade="80"/>
                <w:sz w:val="20"/>
                <w:szCs w:val="20"/>
                <w:lang w:eastAsia="ja-JP"/>
              </w:rPr>
            </w:pPr>
          </w:p>
          <w:p w14:paraId="137E76C5"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14:paraId="759F1D2F" w14:textId="77777777" w:rsidR="009502EA" w:rsidRPr="00F97655" w:rsidRDefault="009502EA" w:rsidP="00E32603">
            <w:pPr>
              <w:rPr>
                <w:rFonts w:cs="Arial"/>
                <w:i/>
                <w:color w:val="808080" w:themeColor="background1" w:themeShade="80"/>
                <w:sz w:val="20"/>
                <w:szCs w:val="20"/>
                <w:lang w:eastAsia="ja-JP"/>
              </w:rPr>
            </w:pPr>
          </w:p>
          <w:p w14:paraId="742F880F"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5E83AE8B" w14:textId="77777777" w:rsidR="009502EA" w:rsidRDefault="009502EA" w:rsidP="00E32603">
            <w:pPr>
              <w:rPr>
                <w:rFonts w:cs="Arial"/>
                <w:i/>
                <w:color w:val="808080" w:themeColor="background1" w:themeShade="80"/>
                <w:sz w:val="20"/>
                <w:szCs w:val="20"/>
                <w:lang w:eastAsia="ja-JP"/>
              </w:rPr>
            </w:pPr>
          </w:p>
          <w:p w14:paraId="7CCBF783" w14:textId="77777777"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14:paraId="37E367CF"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2A12368F" w14:textId="77777777" w:rsidR="00C61974" w:rsidRPr="00551D51" w:rsidRDefault="001F52E6" w:rsidP="00E32603">
            <w:pPr>
              <w:pBdr>
                <w:bottom w:val="single" w:sz="12" w:space="1" w:color="auto"/>
              </w:pBdr>
              <w:rPr>
                <w:rFonts w:cs="Arial"/>
                <w:b/>
                <w:sz w:val="20"/>
                <w:szCs w:val="20"/>
                <w:lang w:eastAsia="ja-JP"/>
              </w:rPr>
            </w:pPr>
            <w:r w:rsidRPr="00551D51">
              <w:rPr>
                <w:rFonts w:cs="Arial"/>
                <w:b/>
                <w:sz w:val="20"/>
                <w:szCs w:val="20"/>
                <w:lang w:eastAsia="ja-JP"/>
              </w:rPr>
              <w:t>Aitutaki Island is a low lying atoll in the Pacific with a population of about 1,800. Aitutaki is a prized tourist destination with a sustainable industry but is isolated and vulnerable to climate change impacts and fuel supply security</w:t>
            </w:r>
            <w:r w:rsidR="00F07C1B" w:rsidRPr="00551D51">
              <w:rPr>
                <w:rFonts w:cs="Arial"/>
                <w:b/>
                <w:sz w:val="20"/>
                <w:szCs w:val="20"/>
                <w:lang w:eastAsia="ja-JP"/>
              </w:rPr>
              <w:t>, high costs and volatility</w:t>
            </w:r>
            <w:r w:rsidRPr="00551D51">
              <w:rPr>
                <w:rFonts w:cs="Arial"/>
                <w:b/>
                <w:sz w:val="20"/>
                <w:szCs w:val="20"/>
                <w:lang w:eastAsia="ja-JP"/>
              </w:rPr>
              <w:t xml:space="preserve">. The proposed project would boost </w:t>
            </w:r>
            <w:r w:rsidR="00F07C1B" w:rsidRPr="00551D51">
              <w:rPr>
                <w:rFonts w:cs="Arial"/>
                <w:b/>
                <w:sz w:val="20"/>
                <w:szCs w:val="20"/>
                <w:lang w:eastAsia="ja-JP"/>
              </w:rPr>
              <w:t xml:space="preserve">renewable energy on the island substantially so that over 50% of electricity is generated from renewable sources, reducing exposure to supply side risks, enabling low cost desalination to mitigate climate </w:t>
            </w:r>
            <w:r w:rsidR="00352244" w:rsidRPr="00551D51">
              <w:rPr>
                <w:rFonts w:cs="Arial"/>
                <w:b/>
                <w:sz w:val="20"/>
                <w:szCs w:val="20"/>
                <w:lang w:eastAsia="ja-JP"/>
              </w:rPr>
              <w:t>variability and limited water supply,</w:t>
            </w:r>
            <w:r w:rsidR="00F07C1B" w:rsidRPr="00551D51">
              <w:rPr>
                <w:rFonts w:cs="Arial"/>
                <w:b/>
                <w:sz w:val="20"/>
                <w:szCs w:val="20"/>
                <w:lang w:eastAsia="ja-JP"/>
              </w:rPr>
              <w:t xml:space="preserve"> and reducing climate impact of power generation.</w:t>
            </w:r>
          </w:p>
          <w:p w14:paraId="17C3D4EF" w14:textId="77777777" w:rsidR="001F52E6" w:rsidRPr="00551D51" w:rsidRDefault="001F52E6" w:rsidP="00E32603">
            <w:pPr>
              <w:pBdr>
                <w:bottom w:val="single" w:sz="12" w:space="1" w:color="auto"/>
              </w:pBdr>
              <w:rPr>
                <w:rFonts w:cs="Arial"/>
                <w:b/>
                <w:sz w:val="20"/>
                <w:szCs w:val="20"/>
                <w:lang w:eastAsia="ja-JP"/>
              </w:rPr>
            </w:pPr>
          </w:p>
          <w:p w14:paraId="4ECC8527" w14:textId="77777777" w:rsidR="000E6E4E" w:rsidRPr="00551D51" w:rsidRDefault="00352244" w:rsidP="00E32603">
            <w:pPr>
              <w:pBdr>
                <w:bottom w:val="single" w:sz="12" w:space="1" w:color="auto"/>
              </w:pBdr>
              <w:rPr>
                <w:rFonts w:cs="Arial"/>
                <w:b/>
                <w:sz w:val="20"/>
                <w:szCs w:val="20"/>
                <w:lang w:eastAsia="ja-JP"/>
              </w:rPr>
            </w:pPr>
            <w:r w:rsidRPr="00551D51">
              <w:rPr>
                <w:rFonts w:cs="Arial"/>
                <w:b/>
                <w:sz w:val="20"/>
                <w:szCs w:val="20"/>
                <w:lang w:eastAsia="ja-JP"/>
              </w:rPr>
              <w:t>Currently, Aitutaki Power Supply generate approximately 3,650 MWh of energy per year using diesel generators, consuming approximately 1,000,000 litres of diesel fuel. The first stage Aitutaki Renewable Energy Project will reduce this fuel usage by about 24%, through the installation of 750 kW solar PV and a battery energy storage system (BESS).</w:t>
            </w:r>
            <w:r w:rsidR="000E6E4E" w:rsidRPr="00551D51">
              <w:rPr>
                <w:rFonts w:cs="Arial"/>
                <w:b/>
                <w:sz w:val="20"/>
                <w:szCs w:val="20"/>
                <w:lang w:eastAsia="ja-JP"/>
              </w:rPr>
              <w:t xml:space="preserve"> </w:t>
            </w:r>
          </w:p>
          <w:p w14:paraId="171D0914" w14:textId="77777777" w:rsidR="000E6E4E" w:rsidRPr="00551D51" w:rsidRDefault="000E6E4E" w:rsidP="00E32603">
            <w:pPr>
              <w:pBdr>
                <w:bottom w:val="single" w:sz="12" w:space="1" w:color="auto"/>
              </w:pBdr>
              <w:rPr>
                <w:rFonts w:cs="Arial"/>
                <w:b/>
                <w:sz w:val="20"/>
                <w:szCs w:val="20"/>
                <w:lang w:eastAsia="ja-JP"/>
              </w:rPr>
            </w:pPr>
          </w:p>
          <w:p w14:paraId="4FF20AEC" w14:textId="77777777" w:rsidR="00352244" w:rsidRPr="00551D51" w:rsidRDefault="000E6E4E" w:rsidP="00E32603">
            <w:pPr>
              <w:pBdr>
                <w:bottom w:val="single" w:sz="12" w:space="1" w:color="auto"/>
              </w:pBdr>
              <w:rPr>
                <w:rFonts w:cs="Arial"/>
                <w:b/>
                <w:sz w:val="20"/>
                <w:szCs w:val="20"/>
                <w:lang w:eastAsia="ja-JP"/>
              </w:rPr>
            </w:pPr>
            <w:r w:rsidRPr="00551D51">
              <w:rPr>
                <w:rFonts w:cs="Arial"/>
                <w:b/>
                <w:sz w:val="20"/>
                <w:szCs w:val="20"/>
                <w:lang w:eastAsia="ja-JP"/>
              </w:rPr>
              <w:t>The proposed second stage would add new renewable generation to increase fuel savings to 50%. Previous studies have suggested a combination of additional solar (at least 1.2 MW can be installed at the power station, in addition to existing generation) and medium scale wind turbines, with additional BESS at the power station, however, this needs to be revisited using latest data.</w:t>
            </w:r>
          </w:p>
          <w:p w14:paraId="1399E497" w14:textId="77777777" w:rsidR="00352244" w:rsidRPr="00551D51" w:rsidRDefault="00352244" w:rsidP="00E32603">
            <w:pPr>
              <w:pBdr>
                <w:bottom w:val="single" w:sz="12" w:space="1" w:color="auto"/>
              </w:pBdr>
              <w:rPr>
                <w:rFonts w:cs="Arial"/>
                <w:b/>
                <w:sz w:val="20"/>
                <w:szCs w:val="20"/>
                <w:lang w:eastAsia="ja-JP"/>
              </w:rPr>
            </w:pPr>
          </w:p>
          <w:p w14:paraId="11E33B11" w14:textId="77777777" w:rsidR="000E6E4E" w:rsidRPr="00551D51" w:rsidRDefault="000E6E4E" w:rsidP="00E32603">
            <w:pPr>
              <w:pBdr>
                <w:bottom w:val="single" w:sz="12" w:space="1" w:color="auto"/>
              </w:pBdr>
              <w:rPr>
                <w:rFonts w:cs="Arial"/>
                <w:b/>
                <w:sz w:val="20"/>
                <w:szCs w:val="20"/>
                <w:lang w:eastAsia="ja-JP"/>
              </w:rPr>
            </w:pPr>
            <w:r w:rsidRPr="00551D51">
              <w:rPr>
                <w:rFonts w:cs="Arial"/>
                <w:b/>
                <w:sz w:val="20"/>
                <w:szCs w:val="20"/>
                <w:lang w:eastAsia="ja-JP"/>
              </w:rPr>
              <w:t xml:space="preserve">This project is fully aligned with the Cook Islands policy position of 100% renewable energy by 2020 (NDC). To date, 14 of the 16 inhabited islands have been converted to run on renewable energy. Aitutaki is one of two remaining islands and there is a strong commitment to </w:t>
            </w:r>
            <w:r w:rsidR="002660CA" w:rsidRPr="00551D51">
              <w:rPr>
                <w:rFonts w:cs="Arial"/>
                <w:b/>
                <w:sz w:val="20"/>
                <w:szCs w:val="20"/>
                <w:lang w:eastAsia="ja-JP"/>
              </w:rPr>
              <w:t xml:space="preserve">completing this program. While there is currently sound processes in place to deliver this program, access to capital and technological support for these programs is a core requirement to achieve this mission. </w:t>
            </w:r>
          </w:p>
          <w:p w14:paraId="555DB638" w14:textId="77777777" w:rsidR="000E6E4E" w:rsidRPr="00551D51" w:rsidRDefault="000E6E4E" w:rsidP="00E32603">
            <w:pPr>
              <w:pBdr>
                <w:bottom w:val="single" w:sz="12" w:space="1" w:color="auto"/>
              </w:pBdr>
              <w:rPr>
                <w:rFonts w:cs="Arial"/>
                <w:b/>
                <w:sz w:val="20"/>
                <w:szCs w:val="20"/>
                <w:lang w:eastAsia="ja-JP"/>
              </w:rPr>
            </w:pPr>
          </w:p>
          <w:p w14:paraId="07246148" w14:textId="77777777" w:rsidR="001F52E6" w:rsidRPr="00551D51" w:rsidRDefault="000E6E4E" w:rsidP="00E32603">
            <w:pPr>
              <w:pBdr>
                <w:bottom w:val="single" w:sz="12" w:space="1" w:color="auto"/>
              </w:pBdr>
              <w:rPr>
                <w:rFonts w:cs="Arial"/>
                <w:b/>
                <w:sz w:val="20"/>
                <w:szCs w:val="20"/>
                <w:lang w:eastAsia="ja-JP"/>
              </w:rPr>
            </w:pPr>
            <w:r w:rsidRPr="00551D51">
              <w:rPr>
                <w:rFonts w:cs="Arial"/>
                <w:b/>
                <w:sz w:val="20"/>
                <w:szCs w:val="20"/>
                <w:lang w:eastAsia="ja-JP"/>
              </w:rPr>
              <w:lastRenderedPageBreak/>
              <w:t xml:space="preserve">The elevated and inland location of the existing power house provides good resilience for the assets to be deployed under this project to be protected from climate change impacts themselves. </w:t>
            </w:r>
          </w:p>
          <w:p w14:paraId="19B4BFF4" w14:textId="77777777" w:rsidR="001F52E6" w:rsidRDefault="001F52E6" w:rsidP="00E32603">
            <w:pPr>
              <w:pBdr>
                <w:bottom w:val="single" w:sz="12" w:space="1" w:color="auto"/>
              </w:pBdr>
              <w:rPr>
                <w:rFonts w:cs="Arial"/>
                <w:i/>
                <w:color w:val="808080" w:themeColor="background1" w:themeShade="80"/>
                <w:sz w:val="20"/>
                <w:szCs w:val="20"/>
                <w:lang w:eastAsia="ja-JP"/>
              </w:rPr>
            </w:pPr>
          </w:p>
          <w:p w14:paraId="70EA0E4E" w14:textId="6DF1AFC9" w:rsidR="007D5FEC" w:rsidRPr="00551D51" w:rsidRDefault="007D5FEC" w:rsidP="00E32603">
            <w:pPr>
              <w:pBdr>
                <w:bottom w:val="single" w:sz="12" w:space="1" w:color="auto"/>
              </w:pBdr>
              <w:rPr>
                <w:rFonts w:cs="Arial"/>
                <w:b/>
                <w:sz w:val="20"/>
                <w:szCs w:val="20"/>
                <w:u w:val="single"/>
                <w:lang w:eastAsia="ja-JP"/>
              </w:rPr>
            </w:pPr>
            <w:r w:rsidRPr="00551D51">
              <w:rPr>
                <w:rFonts w:cs="Arial"/>
                <w:b/>
                <w:sz w:val="20"/>
                <w:szCs w:val="20"/>
                <w:u w:val="single"/>
                <w:lang w:eastAsia="ja-JP"/>
              </w:rPr>
              <w:t>Water supply</w:t>
            </w:r>
          </w:p>
          <w:p w14:paraId="5E33AF29" w14:textId="77777777" w:rsidR="007D5FEC" w:rsidRPr="00551D51" w:rsidRDefault="007D5FEC" w:rsidP="007D5FEC">
            <w:pPr>
              <w:pBdr>
                <w:bottom w:val="single" w:sz="12" w:space="1" w:color="auto"/>
              </w:pBdr>
              <w:rPr>
                <w:rFonts w:cs="Arial"/>
                <w:b/>
                <w:sz w:val="20"/>
                <w:szCs w:val="20"/>
                <w:lang w:eastAsia="ja-JP"/>
              </w:rPr>
            </w:pPr>
            <w:r w:rsidRPr="00551D51">
              <w:rPr>
                <w:rFonts w:cs="Arial"/>
                <w:b/>
                <w:sz w:val="20"/>
                <w:szCs w:val="20"/>
                <w:lang w:eastAsia="ja-JP"/>
              </w:rPr>
              <w:t>Aitutaki primarily relies on rainwater for its potable water supply (drinking and cooking only). Households collect rainwater from their own roofs and most have been supp</w:t>
            </w:r>
            <w:r w:rsidR="00E7467C" w:rsidRPr="00551D51">
              <w:rPr>
                <w:rFonts w:cs="Arial"/>
                <w:b/>
                <w:sz w:val="20"/>
                <w:szCs w:val="20"/>
                <w:lang w:eastAsia="ja-JP"/>
              </w:rPr>
              <w:t xml:space="preserve">lied with 6,000 L polyethylene </w:t>
            </w:r>
            <w:r w:rsidRPr="00551D51">
              <w:rPr>
                <w:rFonts w:cs="Arial"/>
                <w:b/>
                <w:sz w:val="20"/>
                <w:szCs w:val="20"/>
                <w:lang w:eastAsia="ja-JP"/>
              </w:rPr>
              <w:t>ater tanks for storage. There are also approximately 16 community water tanks on the islands, in various states of repair, some of which have been repaired with help from donor agencies.</w:t>
            </w:r>
          </w:p>
          <w:p w14:paraId="7FD3963A" w14:textId="77777777" w:rsidR="007D5FEC" w:rsidRPr="00551D51" w:rsidRDefault="007D5FEC" w:rsidP="007D5FEC">
            <w:pPr>
              <w:pBdr>
                <w:bottom w:val="single" w:sz="12" w:space="1" w:color="auto"/>
              </w:pBdr>
              <w:rPr>
                <w:rFonts w:cs="Arial"/>
                <w:b/>
                <w:sz w:val="20"/>
                <w:szCs w:val="20"/>
                <w:lang w:eastAsia="ja-JP"/>
              </w:rPr>
            </w:pPr>
          </w:p>
          <w:p w14:paraId="73372335" w14:textId="77777777" w:rsidR="007D5FEC" w:rsidRPr="00551D51" w:rsidRDefault="007D5FEC" w:rsidP="007D5FEC">
            <w:pPr>
              <w:pBdr>
                <w:bottom w:val="single" w:sz="12" w:space="1" w:color="auto"/>
              </w:pBdr>
              <w:rPr>
                <w:rFonts w:cs="Arial"/>
                <w:b/>
                <w:sz w:val="20"/>
                <w:szCs w:val="20"/>
                <w:lang w:eastAsia="ja-JP"/>
              </w:rPr>
            </w:pPr>
            <w:r w:rsidRPr="00551D51">
              <w:rPr>
                <w:rFonts w:cs="Arial"/>
                <w:b/>
                <w:sz w:val="20"/>
                <w:szCs w:val="20"/>
                <w:lang w:eastAsia="ja-JP"/>
              </w:rPr>
              <w:t>Non-potable (bathroom, cleaning, toilet, laundry, agriculture etc.) water supply is sourced from seven groundwater infiltration water galleries (three at Vaipeka; one at Vaipae, Tautu, Vaimaru and Vaitekea), with the Vaipeka galleries providing the bulk of the supply. Pumps supply water from the galleries to elevated reservoirs around the island from which the water is distributed to homes via a piped reticulation network. All galleries are operated by the Island Government and the water is brackish/saline.</w:t>
            </w:r>
          </w:p>
          <w:p w14:paraId="254E9713" w14:textId="77777777" w:rsidR="007D5FEC" w:rsidRPr="00551D51" w:rsidRDefault="007D5FEC" w:rsidP="007D5FEC">
            <w:pPr>
              <w:pBdr>
                <w:bottom w:val="single" w:sz="12" w:space="1" w:color="auto"/>
              </w:pBdr>
              <w:rPr>
                <w:rFonts w:cs="Arial"/>
                <w:b/>
                <w:sz w:val="20"/>
                <w:szCs w:val="20"/>
                <w:lang w:eastAsia="ja-JP"/>
              </w:rPr>
            </w:pPr>
          </w:p>
          <w:p w14:paraId="53068041" w14:textId="77777777" w:rsidR="007D5FEC" w:rsidRPr="00551D51" w:rsidRDefault="007D5FEC" w:rsidP="007D5FEC">
            <w:pPr>
              <w:pBdr>
                <w:bottom w:val="single" w:sz="12" w:space="1" w:color="auto"/>
              </w:pBdr>
              <w:rPr>
                <w:rFonts w:cs="Arial"/>
                <w:b/>
                <w:sz w:val="20"/>
                <w:szCs w:val="20"/>
                <w:lang w:eastAsia="ja-JP"/>
              </w:rPr>
            </w:pPr>
            <w:r w:rsidRPr="00551D51">
              <w:rPr>
                <w:rFonts w:cs="Arial"/>
                <w:b/>
                <w:sz w:val="20"/>
                <w:szCs w:val="20"/>
                <w:lang w:eastAsia="ja-JP"/>
              </w:rPr>
              <w:t>“In most cases, since the onset of drought in November 2013 the recharge rates of groundwater has slowed down forcing the operating hours of the pumps at the galleries to be reduced. Recharge of the groundwater is very important to allow the water resource to recover” says Vicky Clarke of OPM.  Careful management of the groundwater harvesting must be done to ensure we don’t over utilize the resource and avoid pumping saline water into the reticulation system.</w:t>
            </w:r>
          </w:p>
          <w:p w14:paraId="3B731AF9" w14:textId="77777777" w:rsidR="007D5FEC" w:rsidRPr="00551D51" w:rsidRDefault="007D5FEC" w:rsidP="007D5FEC">
            <w:pPr>
              <w:pBdr>
                <w:bottom w:val="single" w:sz="12" w:space="1" w:color="auto"/>
              </w:pBdr>
              <w:rPr>
                <w:rFonts w:cs="Arial"/>
                <w:b/>
                <w:sz w:val="20"/>
                <w:szCs w:val="20"/>
                <w:lang w:eastAsia="ja-JP"/>
              </w:rPr>
            </w:pPr>
          </w:p>
          <w:p w14:paraId="49DEA8BC" w14:textId="77777777" w:rsidR="007D5FEC" w:rsidRPr="00551D51" w:rsidRDefault="007D5FEC" w:rsidP="007D5FEC">
            <w:pPr>
              <w:pBdr>
                <w:bottom w:val="single" w:sz="12" w:space="1" w:color="auto"/>
              </w:pBdr>
              <w:rPr>
                <w:rFonts w:cs="Arial"/>
                <w:b/>
                <w:sz w:val="20"/>
                <w:szCs w:val="20"/>
                <w:lang w:eastAsia="ja-JP"/>
              </w:rPr>
            </w:pPr>
            <w:r w:rsidRPr="00551D51">
              <w:rPr>
                <w:rFonts w:cs="Arial"/>
                <w:b/>
                <w:sz w:val="20"/>
                <w:szCs w:val="20"/>
                <w:lang w:eastAsia="ja-JP"/>
              </w:rPr>
              <w:t>With the reliability on rainwater and gallery supplies (which are directly related to rainfall) for the island’s water supply, the island is prone to water shortages. The increase in variability in rainfall in recent times due to climate change means all the more important need to efficiently manage water supply on the island</w:t>
            </w:r>
            <w:r w:rsidR="00E7467C" w:rsidRPr="00551D51">
              <w:rPr>
                <w:rFonts w:cs="Arial"/>
                <w:b/>
                <w:sz w:val="20"/>
                <w:szCs w:val="20"/>
                <w:lang w:eastAsia="ja-JP"/>
              </w:rPr>
              <w:t>.</w:t>
            </w:r>
          </w:p>
          <w:p w14:paraId="7DFC0BCF" w14:textId="77777777" w:rsidR="00E7467C" w:rsidRPr="00551D51" w:rsidRDefault="00E7467C" w:rsidP="007D5FEC">
            <w:pPr>
              <w:pBdr>
                <w:bottom w:val="single" w:sz="12" w:space="1" w:color="auto"/>
              </w:pBdr>
              <w:rPr>
                <w:rFonts w:cs="Arial"/>
                <w:b/>
                <w:sz w:val="20"/>
                <w:szCs w:val="20"/>
                <w:lang w:eastAsia="ja-JP"/>
              </w:rPr>
            </w:pPr>
          </w:p>
          <w:p w14:paraId="495E0A65" w14:textId="77777777" w:rsidR="00E7467C" w:rsidRPr="00551D51" w:rsidRDefault="00E7467C" w:rsidP="007D5FEC">
            <w:pPr>
              <w:pBdr>
                <w:bottom w:val="single" w:sz="12" w:space="1" w:color="auto"/>
              </w:pBdr>
              <w:rPr>
                <w:rFonts w:cs="Arial"/>
                <w:b/>
                <w:sz w:val="20"/>
                <w:szCs w:val="20"/>
                <w:lang w:eastAsia="ja-JP"/>
              </w:rPr>
            </w:pPr>
            <w:r w:rsidRPr="00551D51">
              <w:rPr>
                <w:rFonts w:cs="Arial"/>
                <w:b/>
                <w:sz w:val="20"/>
                <w:szCs w:val="20"/>
                <w:lang w:eastAsia="ja-JP"/>
              </w:rPr>
              <w:t xml:space="preserve">Installation of high penetration renewable energy provides a unique opportunity to address this challenge. High penetration renewable energy systems typically experience times of excess generation. While some of this can be stored in batteries (and this will be included as part of the plan), there are inevitably periods of spill which effectively provide energy for new load at zero marginal cost. After Phase 1, only about 10% of renewable energy will be in excess, but with the proposed system increasing to just over 50% renewable energy, this excess increase substantially, and is likely to exceed 3,600 MWh (depending on the mix of wind and solar and batteries). This excess is all available to support the water supply, which can be configured as a schedulable load. </w:t>
            </w:r>
          </w:p>
          <w:p w14:paraId="37C1AAD2" w14:textId="77777777" w:rsidR="00E7467C" w:rsidRPr="00551D51" w:rsidRDefault="00E7467C" w:rsidP="007D5FEC">
            <w:pPr>
              <w:pBdr>
                <w:bottom w:val="single" w:sz="12" w:space="1" w:color="auto"/>
              </w:pBdr>
              <w:rPr>
                <w:rFonts w:cs="Arial"/>
                <w:b/>
                <w:sz w:val="20"/>
                <w:szCs w:val="20"/>
                <w:lang w:eastAsia="ja-JP"/>
              </w:rPr>
            </w:pPr>
          </w:p>
          <w:p w14:paraId="1BC303DF" w14:textId="77777777" w:rsidR="000E6E4E" w:rsidRPr="00551D51" w:rsidRDefault="00E7467C" w:rsidP="007D5FEC">
            <w:pPr>
              <w:pBdr>
                <w:bottom w:val="single" w:sz="12" w:space="1" w:color="auto"/>
              </w:pBdr>
              <w:rPr>
                <w:rFonts w:cs="Arial"/>
                <w:b/>
                <w:sz w:val="20"/>
                <w:szCs w:val="20"/>
                <w:lang w:eastAsia="ja-JP"/>
              </w:rPr>
            </w:pPr>
            <w:r w:rsidRPr="00551D51">
              <w:rPr>
                <w:rFonts w:cs="Arial"/>
                <w:b/>
                <w:sz w:val="20"/>
                <w:szCs w:val="20"/>
                <w:lang w:eastAsia="ja-JP"/>
              </w:rPr>
              <w:t xml:space="preserve">For instance, on sunny days when there is too much solar PV output for the customer load or </w:t>
            </w:r>
            <w:r w:rsidR="000E6E4E" w:rsidRPr="00551D51">
              <w:rPr>
                <w:rFonts w:cs="Arial"/>
                <w:b/>
                <w:sz w:val="20"/>
                <w:szCs w:val="20"/>
                <w:lang w:eastAsia="ja-JP"/>
              </w:rPr>
              <w:t xml:space="preserve">batteries to absorb, this can be directed into either pumping groundwater to the elevated reservoirs, desalinating ground water or sea water and pumping this to the elevated reservoirs, or even desalinating sea water and pumping this to the galleries. The selection can be based on the health of the galleries and groundwater supply, and fill level of the reservoirs. </w:t>
            </w:r>
          </w:p>
          <w:p w14:paraId="237843BA" w14:textId="77777777" w:rsidR="000E6E4E" w:rsidRPr="00551D51" w:rsidRDefault="000E6E4E" w:rsidP="007D5FEC">
            <w:pPr>
              <w:pBdr>
                <w:bottom w:val="single" w:sz="12" w:space="1" w:color="auto"/>
              </w:pBdr>
              <w:rPr>
                <w:rFonts w:cs="Arial"/>
                <w:b/>
                <w:sz w:val="20"/>
                <w:szCs w:val="20"/>
                <w:lang w:eastAsia="ja-JP"/>
              </w:rPr>
            </w:pPr>
          </w:p>
          <w:p w14:paraId="57CAF582" w14:textId="77777777" w:rsidR="00E7467C" w:rsidRPr="00551D51" w:rsidRDefault="000E6E4E" w:rsidP="007D5FEC">
            <w:pPr>
              <w:pBdr>
                <w:bottom w:val="single" w:sz="12" w:space="1" w:color="auto"/>
              </w:pBdr>
              <w:rPr>
                <w:rFonts w:cs="Arial"/>
                <w:b/>
                <w:sz w:val="20"/>
                <w:szCs w:val="20"/>
                <w:lang w:eastAsia="ja-JP"/>
              </w:rPr>
            </w:pPr>
            <w:r w:rsidRPr="00551D51">
              <w:rPr>
                <w:rFonts w:cs="Arial"/>
                <w:b/>
                <w:sz w:val="20"/>
                <w:szCs w:val="20"/>
                <w:lang w:eastAsia="ja-JP"/>
              </w:rPr>
              <w:t>The water management system can equally benefit from advanced control systems being implemented at the power station to manage generation from multiple sources, to schedule monitor and select water options as required.</w:t>
            </w:r>
            <w:r w:rsidR="00E7467C" w:rsidRPr="00551D51">
              <w:rPr>
                <w:rFonts w:cs="Arial"/>
                <w:b/>
                <w:sz w:val="20"/>
                <w:szCs w:val="20"/>
                <w:lang w:eastAsia="ja-JP"/>
              </w:rPr>
              <w:t xml:space="preserve"> </w:t>
            </w:r>
          </w:p>
          <w:p w14:paraId="20396C3F" w14:textId="77777777" w:rsidR="007D5FEC" w:rsidRPr="00551D51" w:rsidRDefault="007D5FEC" w:rsidP="00E32603">
            <w:pPr>
              <w:pBdr>
                <w:bottom w:val="single" w:sz="12" w:space="1" w:color="auto"/>
              </w:pBdr>
              <w:rPr>
                <w:rFonts w:cs="Arial"/>
                <w:b/>
                <w:sz w:val="20"/>
                <w:szCs w:val="20"/>
                <w:lang w:eastAsia="ja-JP"/>
              </w:rPr>
            </w:pPr>
          </w:p>
          <w:p w14:paraId="55FA7591" w14:textId="77777777" w:rsidR="007D5FEC" w:rsidRPr="00551D51" w:rsidRDefault="007D5FEC" w:rsidP="00E32603">
            <w:pPr>
              <w:pBdr>
                <w:bottom w:val="single" w:sz="12" w:space="1" w:color="auto"/>
              </w:pBdr>
              <w:rPr>
                <w:rFonts w:cs="Arial"/>
                <w:b/>
                <w:sz w:val="20"/>
                <w:szCs w:val="20"/>
                <w:lang w:eastAsia="ja-JP"/>
              </w:rPr>
            </w:pPr>
          </w:p>
          <w:p w14:paraId="047D1CDD" w14:textId="6BF1AD46" w:rsidR="00E7467C" w:rsidRPr="00551D51" w:rsidRDefault="00E7467C" w:rsidP="00E32603">
            <w:pPr>
              <w:pBdr>
                <w:bottom w:val="single" w:sz="12" w:space="1" w:color="auto"/>
              </w:pBdr>
              <w:rPr>
                <w:rFonts w:cs="Arial"/>
                <w:b/>
                <w:sz w:val="20"/>
                <w:szCs w:val="20"/>
                <w:u w:val="single"/>
                <w:lang w:eastAsia="ja-JP"/>
              </w:rPr>
            </w:pPr>
            <w:r w:rsidRPr="00551D51">
              <w:rPr>
                <w:rFonts w:cs="Arial"/>
                <w:b/>
                <w:sz w:val="20"/>
                <w:szCs w:val="20"/>
                <w:u w:val="single"/>
                <w:lang w:eastAsia="ja-JP"/>
              </w:rPr>
              <w:t>Private sector</w:t>
            </w:r>
          </w:p>
          <w:p w14:paraId="4EC8EDF3" w14:textId="77777777" w:rsidR="000E6E4E" w:rsidRPr="00551D51" w:rsidRDefault="000E6E4E" w:rsidP="00E32603">
            <w:pPr>
              <w:pBdr>
                <w:bottom w:val="single" w:sz="12" w:space="1" w:color="auto"/>
              </w:pBdr>
              <w:rPr>
                <w:rFonts w:cs="Arial"/>
                <w:b/>
                <w:sz w:val="20"/>
                <w:szCs w:val="20"/>
                <w:u w:val="single"/>
                <w:lang w:eastAsia="ja-JP"/>
              </w:rPr>
            </w:pPr>
            <w:r w:rsidRPr="00551D51">
              <w:rPr>
                <w:rFonts w:cs="Arial"/>
                <w:b/>
                <w:sz w:val="20"/>
                <w:szCs w:val="20"/>
                <w:u w:val="single"/>
                <w:lang w:eastAsia="ja-JP"/>
              </w:rPr>
              <w:t xml:space="preserve">Private sector investment is often an option, generally for relatively simple renewable energy projects such as a solar PV plant. </w:t>
            </w:r>
          </w:p>
          <w:p w14:paraId="0D5D6ECE" w14:textId="77777777" w:rsidR="000E6E4E" w:rsidRPr="00551D51" w:rsidRDefault="000E6E4E" w:rsidP="00E32603">
            <w:pPr>
              <w:pBdr>
                <w:bottom w:val="single" w:sz="12" w:space="1" w:color="auto"/>
              </w:pBdr>
              <w:rPr>
                <w:rFonts w:cs="Arial"/>
                <w:b/>
                <w:sz w:val="20"/>
                <w:szCs w:val="20"/>
                <w:u w:val="single"/>
                <w:lang w:eastAsia="ja-JP"/>
              </w:rPr>
            </w:pPr>
          </w:p>
          <w:p w14:paraId="54707B0C" w14:textId="77777777" w:rsidR="00F07C1B" w:rsidRPr="00551D51" w:rsidRDefault="00F07C1B" w:rsidP="00E32603">
            <w:pPr>
              <w:pBdr>
                <w:bottom w:val="single" w:sz="12" w:space="1" w:color="auto"/>
              </w:pBdr>
              <w:rPr>
                <w:rFonts w:cs="Arial"/>
                <w:b/>
                <w:sz w:val="20"/>
                <w:szCs w:val="20"/>
                <w:lang w:eastAsia="ja-JP"/>
              </w:rPr>
            </w:pPr>
            <w:r w:rsidRPr="00551D51">
              <w:rPr>
                <w:rFonts w:cs="Arial"/>
                <w:b/>
                <w:sz w:val="20"/>
                <w:szCs w:val="20"/>
                <w:lang w:eastAsia="ja-JP"/>
              </w:rPr>
              <w:t>While private sector involvement (IPPs) is envisaged for renewable power generation the main island of the Cook Islands, Rarotonga, this is not a viable option for Aitutaki due to its increased isolation and relatively small size making it less attractive to IPPs.</w:t>
            </w:r>
            <w:r w:rsidR="00352244" w:rsidRPr="00551D51">
              <w:rPr>
                <w:rFonts w:cs="Arial"/>
                <w:b/>
                <w:sz w:val="20"/>
                <w:szCs w:val="20"/>
                <w:lang w:eastAsia="ja-JP"/>
              </w:rPr>
              <w:t xml:space="preserve"> This adds considerable developer premium (as well as narrowing </w:t>
            </w:r>
            <w:r w:rsidR="00352244" w:rsidRPr="00551D51">
              <w:rPr>
                <w:rFonts w:cs="Arial"/>
                <w:b/>
                <w:sz w:val="20"/>
                <w:szCs w:val="20"/>
                <w:lang w:eastAsia="ja-JP"/>
              </w:rPr>
              <w:lastRenderedPageBreak/>
              <w:t xml:space="preserve">the field), and attracts a financing premium. As such, IPP projects on Aitutaki to boost renewable generation are not considered </w:t>
            </w:r>
            <w:r w:rsidR="00E7467C" w:rsidRPr="00551D51">
              <w:rPr>
                <w:rFonts w:cs="Arial"/>
                <w:b/>
                <w:sz w:val="20"/>
                <w:szCs w:val="20"/>
                <w:lang w:eastAsia="ja-JP"/>
              </w:rPr>
              <w:t>economically efficient for Aitutaki</w:t>
            </w:r>
            <w:r w:rsidR="00352244" w:rsidRPr="00551D51">
              <w:rPr>
                <w:rFonts w:cs="Arial"/>
                <w:b/>
                <w:sz w:val="20"/>
                <w:szCs w:val="20"/>
                <w:lang w:eastAsia="ja-JP"/>
              </w:rPr>
              <w:t xml:space="preserve">. </w:t>
            </w:r>
          </w:p>
          <w:p w14:paraId="7A2D6D9F" w14:textId="77777777" w:rsidR="00352244" w:rsidRDefault="00352244" w:rsidP="00E32603">
            <w:pPr>
              <w:pBdr>
                <w:bottom w:val="single" w:sz="12" w:space="1" w:color="auto"/>
              </w:pBdr>
              <w:rPr>
                <w:rFonts w:cs="Arial"/>
                <w:i/>
                <w:color w:val="808080" w:themeColor="background1" w:themeShade="80"/>
                <w:sz w:val="20"/>
                <w:szCs w:val="20"/>
                <w:lang w:eastAsia="ja-JP"/>
              </w:rPr>
            </w:pPr>
          </w:p>
          <w:p w14:paraId="3BD36D0A" w14:textId="77777777"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390AF146" w14:textId="77777777"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14:paraId="73D6DFB2" w14:textId="77777777" w:rsidR="00917367" w:rsidRDefault="00917367" w:rsidP="00E32603">
            <w:pPr>
              <w:pBdr>
                <w:bottom w:val="single" w:sz="12" w:space="1" w:color="auto"/>
              </w:pBdr>
              <w:spacing w:before="40" w:after="40"/>
              <w:ind w:right="-28"/>
              <w:rPr>
                <w:rFonts w:cs="Arial"/>
                <w:color w:val="808080" w:themeColor="background1" w:themeShade="80"/>
                <w:sz w:val="20"/>
                <w:szCs w:val="20"/>
                <w:lang w:eastAsia="ja-JP"/>
              </w:rPr>
            </w:pPr>
          </w:p>
          <w:p w14:paraId="11FA0028" w14:textId="7CC3F347" w:rsidR="009D1EF4" w:rsidRPr="009D1EF4" w:rsidRDefault="009D1EF4" w:rsidP="00E32603">
            <w:pPr>
              <w:pBdr>
                <w:bottom w:val="single" w:sz="12" w:space="1" w:color="auto"/>
              </w:pBdr>
              <w:spacing w:before="40" w:after="40"/>
              <w:ind w:right="-28"/>
              <w:rPr>
                <w:rFonts w:cs="Arial"/>
                <w:b/>
                <w:sz w:val="20"/>
                <w:szCs w:val="20"/>
                <w:lang w:eastAsia="ja-JP"/>
              </w:rPr>
            </w:pPr>
            <w:r w:rsidRPr="009D1EF4">
              <w:rPr>
                <w:rFonts w:cs="Arial"/>
                <w:b/>
                <w:sz w:val="20"/>
                <w:szCs w:val="20"/>
                <w:lang w:eastAsia="ja-JP"/>
              </w:rPr>
              <w:t>The Aitutaki Renewable Energy Project Phase 1 falls in package of the Southern Group Renewable Energy Project managed by the Project Management Unit within the Office of the Prime Minister and steered by a Project Steering Group of the following entities; Chief of Staff of the Office of the Prime Minister, Financial Secretary of MFEM, CIIC, TAU, DCD, ADB, Project Owners Engineer.</w:t>
            </w:r>
            <w:r>
              <w:rPr>
                <w:rFonts w:cs="Arial"/>
                <w:b/>
                <w:sz w:val="20"/>
                <w:szCs w:val="20"/>
                <w:lang w:eastAsia="ja-JP"/>
              </w:rPr>
              <w:t xml:space="preserve"> </w:t>
            </w:r>
          </w:p>
          <w:p w14:paraId="7A25AA0F" w14:textId="77777777" w:rsidR="009D1EF4" w:rsidRDefault="009D1EF4" w:rsidP="00E32603">
            <w:pPr>
              <w:pBdr>
                <w:bottom w:val="single" w:sz="12" w:space="1" w:color="auto"/>
              </w:pBdr>
              <w:spacing w:before="40" w:after="40"/>
              <w:ind w:right="-28"/>
              <w:rPr>
                <w:rFonts w:cs="Arial"/>
                <w:i/>
                <w:color w:val="808080" w:themeColor="background1" w:themeShade="80"/>
                <w:sz w:val="20"/>
                <w:szCs w:val="20"/>
                <w:lang w:eastAsia="ja-JP"/>
              </w:rPr>
            </w:pPr>
          </w:p>
          <w:p w14:paraId="1550A4A1"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51C87CCB" w14:textId="77777777"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14:paraId="13685C74" w14:textId="77777777" w:rsidR="009502EA" w:rsidRPr="00F97655" w:rsidRDefault="009502EA" w:rsidP="00E32603">
            <w:pPr>
              <w:spacing w:before="40" w:after="40"/>
              <w:ind w:right="-28"/>
              <w:rPr>
                <w:rFonts w:cs="Arial"/>
                <w:i/>
                <w:color w:val="808080" w:themeColor="background1" w:themeShade="80"/>
                <w:sz w:val="20"/>
                <w:szCs w:val="20"/>
                <w:lang w:eastAsia="ja-JP"/>
              </w:rPr>
            </w:pPr>
          </w:p>
          <w:p w14:paraId="25AF866A"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14:paraId="59C453CB" w14:textId="77777777" w:rsidR="00917367" w:rsidRDefault="00917367" w:rsidP="00E32603">
            <w:pPr>
              <w:rPr>
                <w:rFonts w:cs="Arial"/>
                <w:color w:val="808080" w:themeColor="background1" w:themeShade="80"/>
                <w:sz w:val="20"/>
                <w:szCs w:val="20"/>
                <w:lang w:eastAsia="ja-JP"/>
              </w:rPr>
            </w:pPr>
          </w:p>
          <w:p w14:paraId="5BCF70EE" w14:textId="77777777" w:rsidR="00917367" w:rsidRPr="00551D51" w:rsidRDefault="00352244" w:rsidP="00E32603">
            <w:pPr>
              <w:rPr>
                <w:rFonts w:cs="Arial"/>
                <w:b/>
                <w:sz w:val="20"/>
                <w:szCs w:val="20"/>
                <w:lang w:eastAsia="ja-JP"/>
              </w:rPr>
            </w:pPr>
            <w:r w:rsidRPr="00551D51">
              <w:rPr>
                <w:rFonts w:cs="Arial"/>
                <w:b/>
                <w:sz w:val="20"/>
                <w:szCs w:val="20"/>
                <w:lang w:eastAsia="ja-JP"/>
              </w:rPr>
              <w:t xml:space="preserve">The proposed project is expected to have a 25 year life. The asset will be owned by Cook Islands Investment Corporation (CIIC), and managed by Aitutaki Power Supply (APS), part of CIIC. CIIC is responsible for managing Cook Islands government assets and state owned enterprises, and is therefore very well placed to provide a long term asset management strategy for the project. </w:t>
            </w:r>
          </w:p>
          <w:p w14:paraId="402C40AA" w14:textId="77777777" w:rsidR="00352244" w:rsidRPr="00551D51" w:rsidRDefault="00352244" w:rsidP="00E32603">
            <w:pPr>
              <w:rPr>
                <w:rFonts w:cs="Arial"/>
                <w:b/>
                <w:sz w:val="20"/>
                <w:szCs w:val="20"/>
                <w:lang w:eastAsia="ja-JP"/>
              </w:rPr>
            </w:pPr>
          </w:p>
          <w:p w14:paraId="7CB98A4D" w14:textId="77777777" w:rsidR="00352244" w:rsidRPr="00551D51" w:rsidRDefault="00352244" w:rsidP="00E32603">
            <w:pPr>
              <w:rPr>
                <w:rFonts w:cs="Arial"/>
                <w:b/>
                <w:sz w:val="20"/>
                <w:szCs w:val="20"/>
                <w:lang w:eastAsia="ja-JP"/>
              </w:rPr>
            </w:pPr>
            <w:r w:rsidRPr="00551D51">
              <w:rPr>
                <w:rFonts w:cs="Arial"/>
                <w:b/>
                <w:sz w:val="20"/>
                <w:szCs w:val="20"/>
                <w:lang w:eastAsia="ja-JP"/>
              </w:rPr>
              <w:t>As part of the Phase 1 Aitutaki Project, APS performance has been reviewed and records show low numbers of non-financial customers, typical losses (technical and non-technical), and overall generally sound and sustainable financial performance.</w:t>
            </w:r>
          </w:p>
          <w:p w14:paraId="74FBB64A" w14:textId="77777777" w:rsidR="00352244" w:rsidRPr="00551D51" w:rsidRDefault="00352244" w:rsidP="00E32603">
            <w:pPr>
              <w:rPr>
                <w:rFonts w:cs="Arial"/>
                <w:b/>
                <w:sz w:val="20"/>
                <w:szCs w:val="20"/>
                <w:lang w:eastAsia="ja-JP"/>
              </w:rPr>
            </w:pPr>
          </w:p>
          <w:p w14:paraId="778D1AB5" w14:textId="77777777" w:rsidR="00352244" w:rsidRPr="00551D51" w:rsidRDefault="00352244" w:rsidP="00E32603">
            <w:pPr>
              <w:rPr>
                <w:rFonts w:cs="Arial"/>
                <w:b/>
                <w:sz w:val="20"/>
                <w:szCs w:val="20"/>
                <w:lang w:eastAsia="ja-JP"/>
              </w:rPr>
            </w:pPr>
            <w:r w:rsidRPr="00551D51">
              <w:rPr>
                <w:rFonts w:cs="Arial"/>
                <w:b/>
                <w:sz w:val="20"/>
                <w:szCs w:val="20"/>
                <w:lang w:eastAsia="ja-JP"/>
              </w:rPr>
              <w:t>With the implementation of the project, APS will continue to collect tariffs from customers</w:t>
            </w:r>
            <w:r w:rsidR="007D5FEC" w:rsidRPr="00551D51">
              <w:rPr>
                <w:rFonts w:cs="Arial"/>
                <w:b/>
                <w:sz w:val="20"/>
                <w:szCs w:val="20"/>
                <w:lang w:eastAsia="ja-JP"/>
              </w:rPr>
              <w:t xml:space="preserve"> at current rates (adjusted from time to time). Fuel savings will be allocated towards O&amp;M of the system and repayment of the loan (or, in the case of a grant, provisioning for system replacement at end of life). The long term viability will be overseen by CIIC as part of its asset management program. Repayment of loans will be administered through the Ministry of Finance and Economic Management. </w:t>
            </w:r>
          </w:p>
          <w:p w14:paraId="7B468C42" w14:textId="77777777" w:rsidR="007D5FEC" w:rsidRPr="00551D51" w:rsidRDefault="007D5FEC" w:rsidP="00E32603">
            <w:pPr>
              <w:rPr>
                <w:rFonts w:cs="Arial"/>
                <w:b/>
                <w:sz w:val="20"/>
                <w:szCs w:val="20"/>
                <w:lang w:eastAsia="ja-JP"/>
              </w:rPr>
            </w:pPr>
          </w:p>
          <w:p w14:paraId="5C7FBF94" w14:textId="77777777" w:rsidR="007D5FEC" w:rsidRPr="00551D51" w:rsidRDefault="007D5FEC" w:rsidP="00E32603">
            <w:pPr>
              <w:rPr>
                <w:rFonts w:cs="Arial"/>
                <w:b/>
                <w:sz w:val="20"/>
                <w:szCs w:val="20"/>
                <w:lang w:eastAsia="ja-JP"/>
              </w:rPr>
            </w:pPr>
            <w:r w:rsidRPr="00551D51">
              <w:rPr>
                <w:rFonts w:cs="Arial"/>
                <w:b/>
                <w:sz w:val="20"/>
                <w:szCs w:val="20"/>
                <w:lang w:eastAsia="ja-JP"/>
              </w:rPr>
              <w:t xml:space="preserve">APS has sound, experienced and qualified technical specialists to operate and maintain the system, including increased renewable equipment. </w:t>
            </w:r>
          </w:p>
          <w:p w14:paraId="2BE5777E" w14:textId="77777777" w:rsidR="007D5FEC" w:rsidRPr="00551D51" w:rsidRDefault="007D5FEC" w:rsidP="00E32603">
            <w:pPr>
              <w:rPr>
                <w:rFonts w:cs="Arial"/>
                <w:b/>
                <w:sz w:val="20"/>
                <w:szCs w:val="20"/>
                <w:lang w:eastAsia="ja-JP"/>
              </w:rPr>
            </w:pPr>
          </w:p>
          <w:p w14:paraId="1D25F7BD" w14:textId="77777777" w:rsidR="007D5FEC" w:rsidRPr="00551D51" w:rsidRDefault="007D5FEC" w:rsidP="00E32603">
            <w:pPr>
              <w:rPr>
                <w:rFonts w:cs="Arial"/>
                <w:b/>
                <w:sz w:val="20"/>
                <w:szCs w:val="20"/>
                <w:lang w:eastAsia="ja-JP"/>
              </w:rPr>
            </w:pPr>
            <w:r w:rsidRPr="00551D51">
              <w:rPr>
                <w:rFonts w:cs="Arial"/>
                <w:b/>
                <w:sz w:val="20"/>
                <w:szCs w:val="20"/>
                <w:lang w:eastAsia="ja-JP"/>
              </w:rPr>
              <w:t>Performance monitoring of the system, to be implemented by CIIC and APS, will include review of metrics on fuel savings (and associated GHG reduction), and water production against predicted performance on an annual basis. It will also include basic asset management steps including record of spares on hand, maintenance log and review against manufacturer requirements, periodic inspection and condition assessment, and maintenance of equipment register on its Assetfinder system.</w:t>
            </w:r>
          </w:p>
          <w:p w14:paraId="549DD4C4" w14:textId="77777777" w:rsidR="00917367" w:rsidRPr="00551D51" w:rsidRDefault="00917367" w:rsidP="00E32603">
            <w:pPr>
              <w:rPr>
                <w:rFonts w:cs="Arial"/>
                <w:b/>
                <w:sz w:val="20"/>
                <w:szCs w:val="20"/>
                <w:lang w:eastAsia="ja-JP"/>
              </w:rPr>
            </w:pPr>
          </w:p>
          <w:p w14:paraId="45F84B81" w14:textId="77777777" w:rsidR="00917367" w:rsidRPr="00551D51" w:rsidRDefault="007D5FEC" w:rsidP="00E32603">
            <w:pPr>
              <w:rPr>
                <w:rFonts w:cs="Arial"/>
                <w:b/>
                <w:sz w:val="20"/>
                <w:szCs w:val="20"/>
                <w:lang w:eastAsia="ja-JP"/>
              </w:rPr>
            </w:pPr>
            <w:r w:rsidRPr="00551D51">
              <w:rPr>
                <w:rFonts w:cs="Arial"/>
                <w:b/>
                <w:sz w:val="20"/>
                <w:szCs w:val="20"/>
                <w:lang w:eastAsia="ja-JP"/>
              </w:rPr>
              <w:t>The performance of the system, and in particular the desalination component, will be used as a basis for determining roll-out of similar systems across other islands.</w:t>
            </w:r>
          </w:p>
          <w:p w14:paraId="617567B5" w14:textId="77777777" w:rsidR="007D5FEC" w:rsidRPr="00917367" w:rsidRDefault="007D5FEC" w:rsidP="00E32603">
            <w:pPr>
              <w:rPr>
                <w:rFonts w:cs="Arial"/>
                <w:color w:val="808080" w:themeColor="background1" w:themeShade="80"/>
                <w:sz w:val="20"/>
                <w:szCs w:val="20"/>
                <w:lang w:eastAsia="ja-JP"/>
              </w:rPr>
            </w:pPr>
          </w:p>
        </w:tc>
      </w:tr>
      <w:tr w:rsidR="00E32603" w14:paraId="4E95DD14" w14:textId="77777777" w:rsidTr="009502EA">
        <w:tc>
          <w:tcPr>
            <w:tcW w:w="2965" w:type="dxa"/>
          </w:tcPr>
          <w:p w14:paraId="74507BF2" w14:textId="77777777" w:rsidR="00E32603" w:rsidRDefault="00E32603" w:rsidP="00E32603"/>
        </w:tc>
        <w:tc>
          <w:tcPr>
            <w:tcW w:w="6385" w:type="dxa"/>
          </w:tcPr>
          <w:p w14:paraId="4EAFEFF8" w14:textId="77777777" w:rsidR="00E32603" w:rsidRDefault="00E32603" w:rsidP="00E32603"/>
        </w:tc>
      </w:tr>
    </w:tbl>
    <w:p w14:paraId="664F15E4" w14:textId="77777777" w:rsidR="004A53FB" w:rsidRDefault="004A53FB" w:rsidP="004A53FB"/>
    <w:p w14:paraId="0307AC91" w14:textId="77777777" w:rsidR="009502EA" w:rsidRDefault="009502EA" w:rsidP="004A53FB">
      <w:pPr>
        <w:rPr>
          <w:b/>
        </w:rPr>
      </w:pPr>
      <w:r w:rsidRPr="009502EA">
        <w:rPr>
          <w:b/>
        </w:rPr>
        <w:lastRenderedPageBreak/>
        <w:t>Assessed By and Date:</w:t>
      </w:r>
    </w:p>
    <w:p w14:paraId="5873D6E5" w14:textId="77777777" w:rsidR="00917367" w:rsidRDefault="00917367" w:rsidP="004A53FB"/>
    <w:p w14:paraId="6F07ED14" w14:textId="77777777" w:rsidR="00917367" w:rsidRPr="00917367" w:rsidRDefault="00917367" w:rsidP="004A53FB"/>
    <w:p w14:paraId="1E1EF99A" w14:textId="77777777" w:rsidR="009502EA" w:rsidRDefault="009502EA" w:rsidP="004A53FB">
      <w:pPr>
        <w:rPr>
          <w:b/>
        </w:rPr>
      </w:pPr>
      <w:r w:rsidRPr="009502EA">
        <w:rPr>
          <w:b/>
        </w:rPr>
        <w:t>Recommendation:</w:t>
      </w:r>
    </w:p>
    <w:p w14:paraId="255A3AA0" w14:textId="77777777" w:rsidR="00917367" w:rsidRDefault="00917367" w:rsidP="004A53FB"/>
    <w:p w14:paraId="1187D003" w14:textId="77777777" w:rsidR="00917367" w:rsidRDefault="00917367" w:rsidP="004A53FB"/>
    <w:p w14:paraId="2243CC4C"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1024AA"/>
    <w:multiLevelType w:val="hybridMultilevel"/>
    <w:tmpl w:val="8242ABBE"/>
    <w:lvl w:ilvl="0" w:tplc="1409000B">
      <w:start w:val="1"/>
      <w:numFmt w:val="bullet"/>
      <w:lvlText w:val=""/>
      <w:lvlJc w:val="left"/>
      <w:pPr>
        <w:ind w:left="1800" w:hanging="360"/>
      </w:pPr>
      <w:rPr>
        <w:rFonts w:ascii="Wingdings" w:hAnsi="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6E13"/>
    <w:rsid w:val="000821D1"/>
    <w:rsid w:val="000E6E4E"/>
    <w:rsid w:val="001F52E6"/>
    <w:rsid w:val="002660CA"/>
    <w:rsid w:val="002A68EC"/>
    <w:rsid w:val="00352244"/>
    <w:rsid w:val="004379FA"/>
    <w:rsid w:val="00484B0A"/>
    <w:rsid w:val="004A53FB"/>
    <w:rsid w:val="00551D51"/>
    <w:rsid w:val="007C0224"/>
    <w:rsid w:val="007D5FEC"/>
    <w:rsid w:val="00917367"/>
    <w:rsid w:val="009502EA"/>
    <w:rsid w:val="00961B7E"/>
    <w:rsid w:val="009B4C92"/>
    <w:rsid w:val="009D1EF4"/>
    <w:rsid w:val="00AD690C"/>
    <w:rsid w:val="00B74EF4"/>
    <w:rsid w:val="00B803D4"/>
    <w:rsid w:val="00B97716"/>
    <w:rsid w:val="00C61974"/>
    <w:rsid w:val="00E2157C"/>
    <w:rsid w:val="00E32603"/>
    <w:rsid w:val="00E7467C"/>
    <w:rsid w:val="00F07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ACDC1"/>
  <w15:chartTrackingRefBased/>
  <w15:docId w15:val="{D8DD4506-8096-473F-8DD1-5C09DFC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19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974"/>
    <w:rPr>
      <w:rFonts w:ascii="Segoe UI" w:hAnsi="Segoe UI" w:cs="Segoe UI"/>
      <w:sz w:val="18"/>
      <w:szCs w:val="18"/>
    </w:rPr>
  </w:style>
  <w:style w:type="character" w:styleId="CommentReference">
    <w:name w:val="annotation reference"/>
    <w:basedOn w:val="DefaultParagraphFont"/>
    <w:uiPriority w:val="99"/>
    <w:semiHidden/>
    <w:unhideWhenUsed/>
    <w:rsid w:val="00E7467C"/>
    <w:rPr>
      <w:sz w:val="16"/>
      <w:szCs w:val="16"/>
    </w:rPr>
  </w:style>
  <w:style w:type="paragraph" w:styleId="CommentText">
    <w:name w:val="annotation text"/>
    <w:basedOn w:val="Normal"/>
    <w:link w:val="CommentTextChar"/>
    <w:uiPriority w:val="99"/>
    <w:semiHidden/>
    <w:unhideWhenUsed/>
    <w:rsid w:val="00E7467C"/>
    <w:pPr>
      <w:spacing w:line="240" w:lineRule="auto"/>
    </w:pPr>
    <w:rPr>
      <w:sz w:val="20"/>
      <w:szCs w:val="20"/>
    </w:rPr>
  </w:style>
  <w:style w:type="character" w:customStyle="1" w:styleId="CommentTextChar">
    <w:name w:val="Comment Text Char"/>
    <w:basedOn w:val="DefaultParagraphFont"/>
    <w:link w:val="CommentText"/>
    <w:uiPriority w:val="99"/>
    <w:semiHidden/>
    <w:rsid w:val="00E7467C"/>
    <w:rPr>
      <w:sz w:val="20"/>
      <w:szCs w:val="20"/>
    </w:rPr>
  </w:style>
  <w:style w:type="paragraph" w:styleId="CommentSubject">
    <w:name w:val="annotation subject"/>
    <w:basedOn w:val="CommentText"/>
    <w:next w:val="CommentText"/>
    <w:link w:val="CommentSubjectChar"/>
    <w:uiPriority w:val="99"/>
    <w:semiHidden/>
    <w:unhideWhenUsed/>
    <w:rsid w:val="00E7467C"/>
    <w:rPr>
      <w:b/>
      <w:bCs/>
    </w:rPr>
  </w:style>
  <w:style w:type="character" w:customStyle="1" w:styleId="CommentSubjectChar">
    <w:name w:val="Comment Subject Char"/>
    <w:basedOn w:val="CommentTextChar"/>
    <w:link w:val="CommentSubject"/>
    <w:uiPriority w:val="99"/>
    <w:semiHidden/>
    <w:rsid w:val="00E7467C"/>
    <w:rPr>
      <w:b/>
      <w:bCs/>
      <w:sz w:val="20"/>
      <w:szCs w:val="20"/>
    </w:rPr>
  </w:style>
  <w:style w:type="character" w:styleId="Hyperlink">
    <w:name w:val="Hyperlink"/>
    <w:basedOn w:val="DefaultParagraphFont"/>
    <w:uiPriority w:val="99"/>
    <w:unhideWhenUsed/>
    <w:rsid w:val="00E7467C"/>
    <w:rPr>
      <w:color w:val="0563C1" w:themeColor="hyperlink"/>
      <w:u w:val="single"/>
    </w:rPr>
  </w:style>
  <w:style w:type="paragraph" w:styleId="ListParagraph">
    <w:name w:val="List Paragraph"/>
    <w:basedOn w:val="Normal"/>
    <w:uiPriority w:val="34"/>
    <w:qFormat/>
    <w:rsid w:val="0008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8D6CB-5E2C-4801-921A-87F6A0632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10904</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2018-10-26T01:36:00Z</dcterms:created>
  <dcterms:modified xsi:type="dcterms:W3CDTF">2018-10-26T01:36:00Z</dcterms:modified>
</cp:coreProperties>
</file>