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76204" w14:textId="77777777"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14:paraId="1CC7F89D" w14:textId="77777777"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14:paraId="3374345F" w14:textId="77777777" w:rsidR="00764898" w:rsidRDefault="00E32603" w:rsidP="004A53FB">
      <w:pPr>
        <w:rPr>
          <w:b/>
        </w:rPr>
      </w:pPr>
      <w:r w:rsidRPr="00E32603">
        <w:rPr>
          <w:b/>
        </w:rPr>
        <w:t>Title of Concept OR Project Idea:</w:t>
      </w:r>
      <w:r w:rsidR="00E4135D">
        <w:rPr>
          <w:b/>
        </w:rPr>
        <w:t xml:space="preserve"> </w:t>
      </w:r>
    </w:p>
    <w:p w14:paraId="3E996B9D" w14:textId="1D00F18D" w:rsidR="004A53FB" w:rsidRPr="00E32603" w:rsidRDefault="00E4135D" w:rsidP="00764898">
      <w:pPr>
        <w:jc w:val="center"/>
        <w:rPr>
          <w:b/>
        </w:rPr>
      </w:pPr>
      <w:r w:rsidRPr="00764898">
        <w:rPr>
          <w:b/>
          <w:highlight w:val="yellow"/>
        </w:rPr>
        <w:t>E</w:t>
      </w:r>
      <w:r w:rsidR="00764898">
        <w:rPr>
          <w:b/>
          <w:highlight w:val="yellow"/>
        </w:rPr>
        <w:t>NERGY EFFICIENCY PROGRAM IN PUBLIC BUILDINGS, RESIDENTIAL AND COMMERCIAL SECTORS</w:t>
      </w:r>
    </w:p>
    <w:p w14:paraId="1B029E1B" w14:textId="2455B185" w:rsidR="004A53FB" w:rsidRPr="00E32603" w:rsidRDefault="004A53FB" w:rsidP="004A53FB">
      <w:pPr>
        <w:rPr>
          <w:b/>
        </w:rPr>
      </w:pPr>
      <w:r w:rsidRPr="00E32603">
        <w:rPr>
          <w:b/>
        </w:rPr>
        <w:t>Date of Submission</w:t>
      </w:r>
      <w:r w:rsidR="00E4135D">
        <w:rPr>
          <w:b/>
        </w:rPr>
        <w:t>:  2</w:t>
      </w:r>
      <w:r w:rsidR="00764898">
        <w:rPr>
          <w:b/>
        </w:rPr>
        <w:t>5</w:t>
      </w:r>
      <w:r w:rsidR="00764898" w:rsidRPr="00764898">
        <w:rPr>
          <w:b/>
          <w:vertAlign w:val="superscript"/>
        </w:rPr>
        <w:t>th</w:t>
      </w:r>
      <w:r w:rsidR="00764898">
        <w:rPr>
          <w:b/>
        </w:rPr>
        <w:t xml:space="preserve"> </w:t>
      </w:r>
      <w:r w:rsidR="00E4135D">
        <w:rPr>
          <w:b/>
        </w:rPr>
        <w:t>October 2018</w:t>
      </w:r>
    </w:p>
    <w:p w14:paraId="4E782416" w14:textId="101F63AD" w:rsidR="004A53FB" w:rsidRDefault="004A53FB" w:rsidP="0089199D">
      <w:pPr>
        <w:rPr>
          <w:b/>
        </w:rPr>
      </w:pPr>
      <w:r w:rsidRPr="00E32603">
        <w:rPr>
          <w:b/>
        </w:rPr>
        <w:t>Submitted by and Contact</w:t>
      </w:r>
      <w:r w:rsidR="00E4135D">
        <w:rPr>
          <w:b/>
        </w:rPr>
        <w:t>:</w:t>
      </w:r>
    </w:p>
    <w:p w14:paraId="1F3F9DB2" w14:textId="77947F41" w:rsidR="00E4135D" w:rsidRPr="0089199D" w:rsidRDefault="001F1D44" w:rsidP="0089199D">
      <w:pPr>
        <w:spacing w:after="0" w:line="240" w:lineRule="atLeast"/>
        <w:rPr>
          <w:rFonts w:cstheme="minorHAnsi"/>
          <w:b/>
        </w:rPr>
      </w:pPr>
      <w:r w:rsidRPr="0089199D">
        <w:rPr>
          <w:rFonts w:cstheme="minorHAnsi"/>
          <w:b/>
        </w:rPr>
        <w:t>Tangi Tereapii, Director, Renewable Energy Development Division</w:t>
      </w:r>
    </w:p>
    <w:tbl>
      <w:tblPr>
        <w:tblW w:w="0" w:type="auto"/>
        <w:tblCellSpacing w:w="15" w:type="dxa"/>
        <w:tblLook w:val="04A0" w:firstRow="1" w:lastRow="0" w:firstColumn="1" w:lastColumn="0" w:noHBand="0" w:noVBand="1"/>
      </w:tblPr>
      <w:tblGrid>
        <w:gridCol w:w="4087"/>
      </w:tblGrid>
      <w:tr w:rsidR="00E4135D" w14:paraId="100E999A" w14:textId="77777777" w:rsidTr="0089199D">
        <w:trPr>
          <w:tblCellSpacing w:w="15" w:type="dxa"/>
        </w:trPr>
        <w:tc>
          <w:tcPr>
            <w:tcW w:w="0" w:type="auto"/>
            <w:tcMar>
              <w:top w:w="15" w:type="dxa"/>
              <w:left w:w="15" w:type="dxa"/>
              <w:bottom w:w="15" w:type="dxa"/>
              <w:right w:w="15" w:type="dxa"/>
            </w:tcMar>
            <w:vAlign w:val="center"/>
          </w:tcPr>
          <w:p w14:paraId="006DD199" w14:textId="08837C6C" w:rsidR="00E4135D" w:rsidRDefault="00764898">
            <w:pPr>
              <w:rPr>
                <w:rFonts w:eastAsia="Times New Roman"/>
              </w:rPr>
            </w:pPr>
            <w:r>
              <w:rPr>
                <w:rFonts w:eastAsia="Times New Roman"/>
              </w:rPr>
              <w:t>Private Bag, Avarua, Rarotonga, Cook Islands</w:t>
            </w:r>
          </w:p>
        </w:tc>
      </w:tr>
    </w:tbl>
    <w:p w14:paraId="6389C001" w14:textId="2198355B" w:rsidR="00E4135D" w:rsidRDefault="00E4135D" w:rsidP="0089199D">
      <w:pPr>
        <w:rPr>
          <w:b/>
        </w:rPr>
      </w:pPr>
    </w:p>
    <w:p w14:paraId="674397D5" w14:textId="77777777" w:rsidR="0080796F" w:rsidRPr="00E32603" w:rsidRDefault="0080796F" w:rsidP="0089199D">
      <w:pPr>
        <w:rPr>
          <w:b/>
        </w:rPr>
      </w:pPr>
    </w:p>
    <w:tbl>
      <w:tblPr>
        <w:tblStyle w:val="TableGrid"/>
        <w:tblW w:w="10216" w:type="dxa"/>
        <w:tblLook w:val="04A0" w:firstRow="1" w:lastRow="0" w:firstColumn="1" w:lastColumn="0" w:noHBand="0" w:noVBand="1"/>
      </w:tblPr>
      <w:tblGrid>
        <w:gridCol w:w="3823"/>
        <w:gridCol w:w="6385"/>
        <w:gridCol w:w="8"/>
      </w:tblGrid>
      <w:tr w:rsidR="00E32603" w14:paraId="2F94CE29" w14:textId="77777777" w:rsidTr="005F7477">
        <w:trPr>
          <w:gridAfter w:val="1"/>
          <w:wAfter w:w="8" w:type="dxa"/>
        </w:trPr>
        <w:tc>
          <w:tcPr>
            <w:tcW w:w="3823" w:type="dxa"/>
            <w:vAlign w:val="center"/>
          </w:tcPr>
          <w:p w14:paraId="43100113" w14:textId="77777777" w:rsidR="005F7477" w:rsidRDefault="005F7477" w:rsidP="00E32603">
            <w:pPr>
              <w:rPr>
                <w:rFonts w:cs="Arial"/>
                <w:b/>
                <w:color w:val="24634F"/>
                <w:sz w:val="20"/>
                <w:lang w:eastAsia="ja-JP"/>
              </w:rPr>
            </w:pPr>
            <w:r>
              <w:rPr>
                <w:rFonts w:cs="Arial"/>
                <w:b/>
                <w:color w:val="24634F"/>
                <w:sz w:val="20"/>
                <w:lang w:eastAsia="ja-JP"/>
              </w:rPr>
              <w:t>Cook Islands Priority Programmatic Area:</w:t>
            </w:r>
          </w:p>
          <w:p w14:paraId="3600E6ED" w14:textId="376FB682" w:rsidR="005F7477" w:rsidRDefault="005F7477" w:rsidP="00E32603">
            <w:pPr>
              <w:rPr>
                <w:rFonts w:cs="Arial"/>
                <w:b/>
                <w:smallCaps/>
                <w:color w:val="24634F"/>
                <w:sz w:val="20"/>
                <w:lang w:eastAsia="ja-JP"/>
              </w:rPr>
            </w:pPr>
            <w:r w:rsidRPr="005F7477">
              <w:rPr>
                <w:rFonts w:cs="Arial"/>
                <w:b/>
                <w:smallCaps/>
                <w:color w:val="24634F"/>
                <w:sz w:val="20"/>
                <w:lang w:eastAsia="ja-JP"/>
              </w:rPr>
              <w:t>Renewable Energy Development</w:t>
            </w:r>
          </w:p>
          <w:p w14:paraId="53B96E1F" w14:textId="0BC26D63" w:rsidR="005F7477" w:rsidRDefault="005F7477" w:rsidP="00E32603">
            <w:pPr>
              <w:rPr>
                <w:rFonts w:cs="Arial"/>
                <w:b/>
                <w:smallCaps/>
                <w:color w:val="24634F"/>
                <w:sz w:val="20"/>
                <w:lang w:eastAsia="ja-JP"/>
              </w:rPr>
            </w:pPr>
          </w:p>
          <w:p w14:paraId="3CEB2570" w14:textId="61A9A654" w:rsidR="005F7477" w:rsidRPr="005F7477" w:rsidRDefault="005F7477" w:rsidP="00E32603">
            <w:pPr>
              <w:rPr>
                <w:rFonts w:cs="Arial"/>
                <w:b/>
                <w:smallCaps/>
                <w:color w:val="24634F"/>
                <w:sz w:val="20"/>
                <w:lang w:eastAsia="ja-JP"/>
              </w:rPr>
            </w:pPr>
            <w:r>
              <w:rPr>
                <w:rFonts w:cs="Arial"/>
                <w:b/>
                <w:smallCaps/>
                <w:color w:val="24634F"/>
                <w:sz w:val="20"/>
                <w:lang w:eastAsia="ja-JP"/>
              </w:rPr>
              <w:t>Programme Elements:</w:t>
            </w:r>
          </w:p>
          <w:p w14:paraId="12586EF6" w14:textId="77777777" w:rsidR="005F7477" w:rsidRPr="005F7477" w:rsidRDefault="005F7477" w:rsidP="005F7477">
            <w:pPr>
              <w:pStyle w:val="ListParagraph"/>
              <w:numPr>
                <w:ilvl w:val="0"/>
                <w:numId w:val="1"/>
              </w:numPr>
              <w:rPr>
                <w:rFonts w:cs="Arial"/>
                <w:bCs/>
                <w:color w:val="000000" w:themeColor="text1"/>
                <w:sz w:val="20"/>
                <w:lang w:eastAsia="ja-JP"/>
              </w:rPr>
            </w:pPr>
            <w:r w:rsidRPr="005F7477">
              <w:rPr>
                <w:rFonts w:cs="Arial"/>
                <w:bCs/>
                <w:color w:val="000000" w:themeColor="text1"/>
                <w:sz w:val="20"/>
                <w:lang w:eastAsia="ja-JP"/>
              </w:rPr>
              <w:t>Expand renewable energy such as solar, wind, biomass, and other relevant electricity generation sources with a focus on tried and proven technologies</w:t>
            </w:r>
          </w:p>
          <w:p w14:paraId="33BA9B4D" w14:textId="77777777" w:rsidR="005F7477" w:rsidRPr="005F7477" w:rsidRDefault="005F7477" w:rsidP="005F7477">
            <w:pPr>
              <w:pStyle w:val="ListParagraph"/>
              <w:numPr>
                <w:ilvl w:val="0"/>
                <w:numId w:val="1"/>
              </w:numPr>
              <w:rPr>
                <w:rFonts w:cs="Arial"/>
                <w:bCs/>
                <w:color w:val="000000" w:themeColor="text1"/>
                <w:sz w:val="20"/>
                <w:lang w:eastAsia="ja-JP"/>
              </w:rPr>
            </w:pPr>
            <w:r w:rsidRPr="005F7477">
              <w:rPr>
                <w:rFonts w:cs="Arial"/>
                <w:bCs/>
                <w:color w:val="000000" w:themeColor="text1"/>
                <w:sz w:val="20"/>
                <w:lang w:eastAsia="ja-JP"/>
              </w:rPr>
              <w:t>Implement energy efficiency in public buildings</w:t>
            </w:r>
          </w:p>
          <w:p w14:paraId="4B3F4808" w14:textId="77777777" w:rsidR="005F7477" w:rsidRPr="005F7477" w:rsidRDefault="005F7477" w:rsidP="005F7477">
            <w:pPr>
              <w:pStyle w:val="ListParagraph"/>
              <w:numPr>
                <w:ilvl w:val="0"/>
                <w:numId w:val="1"/>
              </w:numPr>
              <w:rPr>
                <w:rFonts w:cs="Arial"/>
                <w:bCs/>
                <w:color w:val="000000" w:themeColor="text1"/>
                <w:sz w:val="20"/>
                <w:lang w:eastAsia="ja-JP"/>
              </w:rPr>
            </w:pPr>
            <w:r w:rsidRPr="005F7477">
              <w:rPr>
                <w:rFonts w:cs="Arial"/>
                <w:bCs/>
                <w:color w:val="000000" w:themeColor="text1"/>
                <w:sz w:val="20"/>
                <w:lang w:eastAsia="ja-JP"/>
              </w:rPr>
              <w:t>Implement energy efficient businesses and households</w:t>
            </w:r>
          </w:p>
          <w:p w14:paraId="04168911" w14:textId="77777777" w:rsidR="005F7477" w:rsidRPr="005F7477" w:rsidRDefault="005F7477" w:rsidP="005F7477">
            <w:pPr>
              <w:pStyle w:val="ListParagraph"/>
              <w:numPr>
                <w:ilvl w:val="0"/>
                <w:numId w:val="1"/>
              </w:numPr>
              <w:rPr>
                <w:rFonts w:cs="Arial"/>
                <w:bCs/>
                <w:color w:val="000000" w:themeColor="text1"/>
                <w:sz w:val="20"/>
                <w:lang w:eastAsia="ja-JP"/>
              </w:rPr>
            </w:pPr>
            <w:r w:rsidRPr="005F7477">
              <w:rPr>
                <w:rFonts w:cs="Arial"/>
                <w:bCs/>
                <w:color w:val="000000" w:themeColor="text1"/>
                <w:sz w:val="20"/>
                <w:lang w:eastAsia="ja-JP"/>
              </w:rPr>
              <w:t xml:space="preserve">Explore and implement means to incentivise the uptake of renewable energy, including the implementation of cheaper financing options for the private sector, households and communities </w:t>
            </w:r>
          </w:p>
          <w:p w14:paraId="720D3542" w14:textId="48BF4BFB" w:rsidR="005F7477" w:rsidRPr="005F7477" w:rsidRDefault="005F7477" w:rsidP="005F7477">
            <w:pPr>
              <w:pStyle w:val="ListParagraph"/>
              <w:rPr>
                <w:rFonts w:cs="Arial"/>
                <w:b/>
                <w:color w:val="24634F"/>
                <w:sz w:val="20"/>
                <w:lang w:eastAsia="ja-JP"/>
              </w:rPr>
            </w:pPr>
          </w:p>
        </w:tc>
        <w:tc>
          <w:tcPr>
            <w:tcW w:w="6385" w:type="dxa"/>
            <w:vAlign w:val="center"/>
          </w:tcPr>
          <w:p w14:paraId="7FC119F0" w14:textId="77777777" w:rsidR="00E32603" w:rsidRPr="00F97655" w:rsidRDefault="00E32603" w:rsidP="005F7477">
            <w:pPr>
              <w:rPr>
                <w:rFonts w:cs="Arial"/>
                <w:color w:val="000000"/>
                <w:sz w:val="4"/>
                <w:szCs w:val="4"/>
                <w:u w:val="single"/>
                <w:lang w:eastAsia="ja-JP"/>
              </w:rPr>
            </w:pPr>
          </w:p>
          <w:p w14:paraId="2E0CFADC" w14:textId="3037EE5D" w:rsidR="00E32603" w:rsidRPr="00F97655" w:rsidRDefault="00E32603" w:rsidP="005F7477">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43008856" w14:textId="77777777" w:rsidR="00E32603" w:rsidRPr="00F97655" w:rsidRDefault="00E32603" w:rsidP="005F7477">
            <w:pPr>
              <w:rPr>
                <w:rFonts w:cs="Arial"/>
                <w:color w:val="000000"/>
                <w:sz w:val="4"/>
                <w:szCs w:val="4"/>
                <w:u w:val="single"/>
                <w:lang w:eastAsia="ja-JP"/>
              </w:rPr>
            </w:pPr>
          </w:p>
          <w:p w14:paraId="067B30D9" w14:textId="0918FDC9" w:rsidR="00E32603" w:rsidRPr="00F97655" w:rsidRDefault="008C19BB" w:rsidP="005F7477">
            <w:pPr>
              <w:rPr>
                <w:rFonts w:cs="Arial"/>
                <w:color w:val="000000"/>
                <w:sz w:val="20"/>
                <w:lang w:eastAsia="ja-JP"/>
              </w:rPr>
            </w:pPr>
            <w:sdt>
              <w:sdtPr>
                <w:rPr>
                  <w:rFonts w:cs="Arial"/>
                  <w:color w:val="000000"/>
                  <w:sz w:val="20"/>
                  <w:lang w:eastAsia="ja-JP"/>
                </w:rPr>
                <w:id w:val="148488930"/>
                <w14:checkbox>
                  <w14:checked w14:val="1"/>
                  <w14:checkedState w14:val="2612" w14:font="Arial Unicode MS"/>
                  <w14:uncheckedState w14:val="2610" w14:font="Arial Unicode MS"/>
                </w14:checkbox>
              </w:sdtPr>
              <w:sdtEndPr/>
              <w:sdtContent>
                <w:r w:rsidR="005F7477">
                  <w:rPr>
                    <w:rFonts w:ascii="Arial Unicode MS" w:hAnsi="Arial Unicode MS" w:cs="Arial"/>
                    <w:color w:val="000000"/>
                    <w:sz w:val="20"/>
                    <w:lang w:eastAsia="ja-JP"/>
                  </w:rPr>
                  <w:t>☒</w:t>
                </w:r>
              </w:sdtContent>
            </w:sdt>
            <w:r w:rsidR="00E32603" w:rsidRPr="00F97655">
              <w:rPr>
                <w:rFonts w:cs="Arial"/>
                <w:color w:val="000000"/>
                <w:sz w:val="20"/>
                <w:lang w:eastAsia="ja-JP"/>
              </w:rPr>
              <w:tab/>
              <w:t xml:space="preserve">Energy access and power generation </w:t>
            </w:r>
          </w:p>
          <w:p w14:paraId="3F0DB3FF" w14:textId="77777777" w:rsidR="00E32603" w:rsidRPr="00F97655" w:rsidRDefault="00E32603" w:rsidP="005F7477">
            <w:pPr>
              <w:rPr>
                <w:rFonts w:cs="Arial"/>
                <w:color w:val="000000"/>
                <w:sz w:val="4"/>
                <w:szCs w:val="4"/>
                <w:lang w:eastAsia="ja-JP"/>
              </w:rPr>
            </w:pPr>
          </w:p>
          <w:p w14:paraId="0BBF1C33" w14:textId="77777777" w:rsidR="00E32603" w:rsidRPr="00F97655" w:rsidRDefault="008C19BB" w:rsidP="005F7477">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14:paraId="3DA98CD8" w14:textId="77777777" w:rsidR="00E32603" w:rsidRPr="00F97655" w:rsidRDefault="00E32603" w:rsidP="005F7477">
            <w:pPr>
              <w:rPr>
                <w:rFonts w:cs="Arial"/>
                <w:color w:val="000000"/>
                <w:sz w:val="4"/>
                <w:szCs w:val="4"/>
                <w:lang w:eastAsia="ja-JP"/>
              </w:rPr>
            </w:pPr>
          </w:p>
          <w:p w14:paraId="2C8D1CC7" w14:textId="64166C87" w:rsidR="00E32603" w:rsidRPr="00F97655" w:rsidRDefault="008C19BB" w:rsidP="005F7477">
            <w:pPr>
              <w:rPr>
                <w:rFonts w:cs="Arial"/>
                <w:color w:val="000000"/>
                <w:sz w:val="20"/>
                <w:lang w:eastAsia="ja-JP"/>
              </w:rPr>
            </w:pPr>
            <w:sdt>
              <w:sdtPr>
                <w:rPr>
                  <w:rFonts w:cs="Arial"/>
                  <w:color w:val="000000"/>
                  <w:sz w:val="20"/>
                  <w:lang w:eastAsia="ja-JP"/>
                </w:rPr>
                <w:id w:val="1637685763"/>
                <w14:checkbox>
                  <w14:checked w14:val="1"/>
                  <w14:checkedState w14:val="2612" w14:font="Arial Unicode MS"/>
                  <w14:uncheckedState w14:val="2610" w14:font="Arial Unicode MS"/>
                </w14:checkbox>
              </w:sdtPr>
              <w:sdtEndPr/>
              <w:sdtContent>
                <w:r w:rsidR="005F7477">
                  <w:rPr>
                    <w:rFonts w:ascii="Arial Unicode MS" w:hAnsi="Arial Unicode MS" w:cs="Arial"/>
                    <w:color w:val="000000"/>
                    <w:sz w:val="20"/>
                    <w:lang w:eastAsia="ja-JP"/>
                  </w:rPr>
                  <w:t>☒</w:t>
                </w:r>
              </w:sdtContent>
            </w:sdt>
            <w:r w:rsidR="00E32603" w:rsidRPr="00F97655">
              <w:rPr>
                <w:rFonts w:cs="Arial"/>
                <w:color w:val="000000"/>
                <w:sz w:val="20"/>
                <w:lang w:eastAsia="ja-JP"/>
              </w:rPr>
              <w:tab/>
              <w:t xml:space="preserve">Buildings, cities and industries and appliances </w:t>
            </w:r>
          </w:p>
          <w:p w14:paraId="3C95BDC2" w14:textId="77777777" w:rsidR="00E32603" w:rsidRPr="00F97655" w:rsidRDefault="00E32603" w:rsidP="005F7477">
            <w:pPr>
              <w:rPr>
                <w:rFonts w:cs="Arial"/>
                <w:color w:val="000000"/>
                <w:sz w:val="4"/>
                <w:szCs w:val="4"/>
                <w:lang w:eastAsia="ja-JP"/>
              </w:rPr>
            </w:pPr>
          </w:p>
          <w:p w14:paraId="579D8F8C" w14:textId="77777777" w:rsidR="00E32603" w:rsidRPr="00F97655" w:rsidRDefault="008C19BB" w:rsidP="005F7477">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14:paraId="5298C00E" w14:textId="77777777" w:rsidR="00E32603" w:rsidRPr="00F97655" w:rsidRDefault="00E32603" w:rsidP="005F7477">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490CBCE4" w14:textId="77777777" w:rsidR="00E32603" w:rsidRPr="00F97655" w:rsidRDefault="00E32603" w:rsidP="005F7477">
            <w:pPr>
              <w:rPr>
                <w:rFonts w:cs="Arial"/>
                <w:color w:val="000000"/>
                <w:sz w:val="4"/>
                <w:szCs w:val="4"/>
                <w:lang w:eastAsia="ja-JP"/>
              </w:rPr>
            </w:pPr>
          </w:p>
          <w:p w14:paraId="08B74E93" w14:textId="77777777" w:rsidR="00E32603" w:rsidRPr="00F97655" w:rsidRDefault="008C19BB" w:rsidP="005F7477">
            <w:pPr>
              <w:rPr>
                <w:rFonts w:cs="Arial"/>
                <w:color w:val="000000"/>
                <w:sz w:val="20"/>
                <w:lang w:eastAsia="ja-JP"/>
              </w:rPr>
            </w:pPr>
            <w:sdt>
              <w:sdtPr>
                <w:rPr>
                  <w:rFonts w:cs="Arial"/>
                  <w:color w:val="000000"/>
                  <w:sz w:val="20"/>
                  <w:lang w:eastAsia="ja-JP"/>
                </w:rPr>
                <w:id w:val="68232994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Most vulnerable people and communities</w:t>
            </w:r>
          </w:p>
          <w:p w14:paraId="7B4E0569" w14:textId="77777777" w:rsidR="00E32603" w:rsidRPr="00F97655" w:rsidRDefault="00E32603" w:rsidP="005F7477">
            <w:pPr>
              <w:rPr>
                <w:rFonts w:cs="Arial"/>
                <w:color w:val="000000"/>
                <w:sz w:val="4"/>
                <w:szCs w:val="4"/>
                <w:lang w:eastAsia="ja-JP"/>
              </w:rPr>
            </w:pPr>
          </w:p>
          <w:p w14:paraId="7B328D32" w14:textId="77777777" w:rsidR="00E32603" w:rsidRPr="00F97655" w:rsidRDefault="008C19BB" w:rsidP="005F7477">
            <w:pPr>
              <w:rPr>
                <w:rFonts w:cs="Arial"/>
                <w:color w:val="000000"/>
                <w:sz w:val="20"/>
                <w:lang w:eastAsia="ja-JP"/>
              </w:rPr>
            </w:pPr>
            <w:sdt>
              <w:sdtPr>
                <w:rPr>
                  <w:rFonts w:cs="Arial"/>
                  <w:color w:val="000000"/>
                  <w:sz w:val="20"/>
                  <w:lang w:eastAsia="ja-JP"/>
                </w:rPr>
                <w:id w:val="208749555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14:paraId="5D5FA156" w14:textId="77777777" w:rsidR="00E32603" w:rsidRPr="00F97655" w:rsidRDefault="00E32603" w:rsidP="005F7477">
            <w:pPr>
              <w:rPr>
                <w:rFonts w:cs="Arial"/>
                <w:color w:val="000000"/>
                <w:sz w:val="4"/>
                <w:szCs w:val="4"/>
                <w:lang w:eastAsia="ja-JP"/>
              </w:rPr>
            </w:pPr>
          </w:p>
          <w:p w14:paraId="38BD48EB" w14:textId="77777777" w:rsidR="00E32603" w:rsidRPr="00F97655" w:rsidRDefault="008C19BB" w:rsidP="005F7477">
            <w:pPr>
              <w:rPr>
                <w:rFonts w:cs="Arial"/>
                <w:color w:val="000000"/>
                <w:sz w:val="20"/>
                <w:lang w:eastAsia="ja-JP"/>
              </w:rPr>
            </w:pPr>
            <w:sdt>
              <w:sdtPr>
                <w:rPr>
                  <w:rFonts w:cs="Arial"/>
                  <w:color w:val="000000"/>
                  <w:sz w:val="20"/>
                  <w:lang w:eastAsia="ja-JP"/>
                </w:rPr>
                <w:id w:val="190047135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Infrastructure and built environment</w:t>
            </w:r>
          </w:p>
          <w:p w14:paraId="50A32FB2" w14:textId="77777777" w:rsidR="00E32603" w:rsidRPr="00F97655" w:rsidRDefault="00E32603" w:rsidP="005F7477">
            <w:pPr>
              <w:rPr>
                <w:rFonts w:cs="Arial"/>
                <w:color w:val="000000"/>
                <w:sz w:val="4"/>
                <w:szCs w:val="4"/>
                <w:lang w:eastAsia="ja-JP"/>
              </w:rPr>
            </w:pPr>
          </w:p>
          <w:p w14:paraId="1F698EB7" w14:textId="77777777" w:rsidR="00E32603" w:rsidRPr="00F97655" w:rsidRDefault="008C19BB" w:rsidP="005F7477">
            <w:pPr>
              <w:rPr>
                <w:rFonts w:cs="Arial"/>
                <w:color w:val="000000"/>
                <w:sz w:val="20"/>
                <w:lang w:eastAsia="ja-JP"/>
              </w:rPr>
            </w:pPr>
            <w:sdt>
              <w:sdtPr>
                <w:rPr>
                  <w:rFonts w:cs="Arial"/>
                  <w:color w:val="000000"/>
                  <w:sz w:val="20"/>
                  <w:lang w:eastAsia="ja-JP"/>
                </w:rPr>
                <w:id w:val="1745679236"/>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14:paraId="5C022AE7" w14:textId="77777777" w:rsidTr="005F7477">
        <w:trPr>
          <w:gridAfter w:val="1"/>
          <w:wAfter w:w="8" w:type="dxa"/>
        </w:trPr>
        <w:tc>
          <w:tcPr>
            <w:tcW w:w="3823" w:type="dxa"/>
            <w:vAlign w:val="center"/>
          </w:tcPr>
          <w:p w14:paraId="7AB5BFE6" w14:textId="77777777"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14:paraId="298FE5EC" w14:textId="75A8256B"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Amount</w:t>
            </w:r>
            <w:r w:rsidRPr="00764898">
              <w:rPr>
                <w:rFonts w:cs="Arial"/>
                <w:b/>
                <w:color w:val="000000"/>
                <w:sz w:val="20"/>
                <w:szCs w:val="20"/>
                <w:highlight w:val="yellow"/>
                <w:lang w:eastAsia="ja-JP"/>
              </w:rPr>
              <w:t xml:space="preserve">: </w:t>
            </w:r>
            <w:r w:rsidR="00917367" w:rsidRPr="00764898">
              <w:rPr>
                <w:rFonts w:cs="Arial"/>
                <w:b/>
                <w:color w:val="000000"/>
                <w:sz w:val="20"/>
                <w:szCs w:val="20"/>
                <w:highlight w:val="yellow"/>
                <w:lang w:eastAsia="ja-JP"/>
              </w:rPr>
              <w:t>NZD</w:t>
            </w:r>
            <w:r w:rsidR="00764898" w:rsidRPr="00764898">
              <w:rPr>
                <w:rFonts w:cs="Arial"/>
                <w:b/>
                <w:color w:val="000000"/>
                <w:sz w:val="20"/>
                <w:szCs w:val="20"/>
                <w:highlight w:val="yellow"/>
                <w:lang w:eastAsia="ja-JP"/>
              </w:rPr>
              <w:t>5,000,000.00</w:t>
            </w:r>
            <w:r w:rsidRPr="000B2111">
              <w:rPr>
                <w:rFonts w:cs="Arial"/>
                <w:color w:val="000000"/>
                <w:sz w:val="20"/>
                <w:szCs w:val="20"/>
                <w:lang w:eastAsia="ja-JP"/>
              </w:rPr>
              <w:t xml:space="preserve"> </w:t>
            </w:r>
          </w:p>
          <w:p w14:paraId="107462E2" w14:textId="77777777" w:rsidR="00E32603" w:rsidRPr="000B2111" w:rsidRDefault="00E32603" w:rsidP="00E32603">
            <w:pPr>
              <w:rPr>
                <w:rFonts w:cs="Arial"/>
                <w:color w:val="000000"/>
                <w:sz w:val="20"/>
                <w:szCs w:val="20"/>
                <w:lang w:eastAsia="ja-JP"/>
              </w:rPr>
            </w:pPr>
          </w:p>
        </w:tc>
      </w:tr>
      <w:tr w:rsidR="009502EA" w14:paraId="6E1B3A91" w14:textId="77777777" w:rsidTr="0080796F">
        <w:tc>
          <w:tcPr>
            <w:tcW w:w="10216" w:type="dxa"/>
            <w:gridSpan w:val="3"/>
            <w:vAlign w:val="center"/>
          </w:tcPr>
          <w:p w14:paraId="5A34BF9A" w14:textId="24B6E3B2" w:rsidR="009502EA" w:rsidRPr="00F97655" w:rsidRDefault="009502EA" w:rsidP="00E32603">
            <w:pPr>
              <w:rPr>
                <w:rFonts w:cs="Arial"/>
                <w:b/>
                <w:color w:val="24634F"/>
                <w:sz w:val="20"/>
                <w:lang w:eastAsia="ja-JP"/>
              </w:rPr>
            </w:pPr>
            <w:r>
              <w:rPr>
                <w:rFonts w:cs="Arial"/>
                <w:b/>
                <w:color w:val="24634F"/>
                <w:sz w:val="20"/>
                <w:lang w:eastAsia="ja-JP"/>
              </w:rPr>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14:paraId="34A74F10" w14:textId="77777777" w:rsidR="009502EA"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entity(ies) and other implementing partners.</w:t>
            </w:r>
            <w:r>
              <w:rPr>
                <w:rFonts w:cs="Arial"/>
                <w:color w:val="808080" w:themeColor="background1" w:themeShade="80"/>
                <w:sz w:val="20"/>
                <w:szCs w:val="20"/>
                <w:lang w:eastAsia="ja-JP"/>
              </w:rPr>
              <w:t xml:space="preserve">    </w:t>
            </w:r>
          </w:p>
          <w:p w14:paraId="28A0C01F" w14:textId="71350F01" w:rsidR="00252A00" w:rsidRPr="00764898" w:rsidRDefault="00252A00" w:rsidP="002769D3">
            <w:pPr>
              <w:spacing w:before="240" w:after="40"/>
              <w:jc w:val="both"/>
              <w:rPr>
                <w:rFonts w:ascii="Trebuchet MS" w:hAnsi="Trebuchet MS"/>
                <w:b/>
                <w:iCs/>
                <w:sz w:val="20"/>
                <w:szCs w:val="20"/>
              </w:rPr>
            </w:pPr>
            <w:r w:rsidRPr="00764898">
              <w:rPr>
                <w:rFonts w:ascii="Trebuchet MS" w:hAnsi="Trebuchet MS"/>
                <w:b/>
                <w:iCs/>
                <w:sz w:val="20"/>
                <w:szCs w:val="20"/>
              </w:rPr>
              <w:lastRenderedPageBreak/>
              <w:t xml:space="preserve">The program entails the large-scale implementation of energy efficiency and renewable (EE/RE) projects in all sectors using the business models established in recent and current projects including Promotion of Energy Efficiency in the Pacific – Phase 2 (PEEP2) and the Kigali – Cooling Efficiency Program (K-CEP). The objective is to reduce electricity generation from fossil fuels and includes the safe disposal of electrical products containing residual mercury and harmful refrigerants. </w:t>
            </w:r>
          </w:p>
          <w:p w14:paraId="4053E5A1" w14:textId="798C920C" w:rsidR="009502EA" w:rsidRPr="00764898" w:rsidRDefault="00764898" w:rsidP="0090700F">
            <w:pPr>
              <w:spacing w:before="120" w:after="40"/>
              <w:rPr>
                <w:rFonts w:cs="Arial"/>
                <w:b/>
                <w:color w:val="808080" w:themeColor="background1" w:themeShade="80"/>
                <w:sz w:val="20"/>
                <w:szCs w:val="20"/>
                <w:lang w:eastAsia="ja-JP"/>
              </w:rPr>
            </w:pPr>
            <w:r>
              <w:rPr>
                <w:rFonts w:cs="Arial"/>
                <w:b/>
                <w:color w:val="000000" w:themeColor="text1"/>
                <w:lang w:eastAsia="ja-JP"/>
              </w:rPr>
              <w:t xml:space="preserve">The </w:t>
            </w:r>
            <w:r w:rsidR="00AD1956" w:rsidRPr="00764898">
              <w:rPr>
                <w:rFonts w:cs="Arial"/>
                <w:b/>
                <w:color w:val="000000" w:themeColor="text1"/>
                <w:lang w:eastAsia="ja-JP"/>
              </w:rPr>
              <w:t xml:space="preserve">Renewable Energy Development Division (REDD) will be the executing agency. </w:t>
            </w:r>
            <w:r w:rsidR="0090700F" w:rsidRPr="00764898">
              <w:rPr>
                <w:rFonts w:cs="Arial"/>
                <w:b/>
                <w:color w:val="000000" w:themeColor="text1"/>
                <w:lang w:eastAsia="ja-JP"/>
              </w:rPr>
              <w:t>The implementing</w:t>
            </w:r>
            <w:r w:rsidR="00AD1956" w:rsidRPr="00764898">
              <w:rPr>
                <w:rFonts w:cs="Arial"/>
                <w:b/>
                <w:color w:val="000000" w:themeColor="text1"/>
                <w:lang w:eastAsia="ja-JP"/>
              </w:rPr>
              <w:t xml:space="preserve"> </w:t>
            </w:r>
            <w:r w:rsidRPr="00764898">
              <w:rPr>
                <w:rFonts w:cs="Arial"/>
                <w:b/>
                <w:color w:val="000000" w:themeColor="text1"/>
                <w:lang w:eastAsia="ja-JP"/>
              </w:rPr>
              <w:t>partners include Te</w:t>
            </w:r>
            <w:r w:rsidR="00AD1956" w:rsidRPr="00764898">
              <w:rPr>
                <w:rFonts w:cs="Arial"/>
                <w:b/>
                <w:color w:val="000000" w:themeColor="text1"/>
                <w:lang w:eastAsia="ja-JP"/>
              </w:rPr>
              <w:t xml:space="preserve"> Aponga Uira o Tumutevarovaro (TAU)</w:t>
            </w:r>
            <w:r w:rsidR="004633F8" w:rsidRPr="00764898">
              <w:rPr>
                <w:rFonts w:cs="Arial"/>
                <w:b/>
                <w:color w:val="000000" w:themeColor="text1"/>
                <w:lang w:eastAsia="ja-JP"/>
              </w:rPr>
              <w:t>, Bank of the Cook Islands (BCI)</w:t>
            </w:r>
            <w:r w:rsidR="0090700F" w:rsidRPr="00764898">
              <w:rPr>
                <w:rFonts w:cs="Arial"/>
                <w:b/>
                <w:color w:val="000000" w:themeColor="text1"/>
                <w:lang w:eastAsia="ja-JP"/>
              </w:rPr>
              <w:t xml:space="preserve"> and </w:t>
            </w:r>
            <w:r w:rsidR="00AD1956" w:rsidRPr="00764898">
              <w:rPr>
                <w:rFonts w:cs="Arial"/>
                <w:b/>
                <w:color w:val="000000" w:themeColor="text1"/>
                <w:lang w:eastAsia="ja-JP"/>
              </w:rPr>
              <w:t>Cook Island</w:t>
            </w:r>
            <w:r>
              <w:rPr>
                <w:rFonts w:cs="Arial"/>
                <w:b/>
                <w:color w:val="000000" w:themeColor="text1"/>
                <w:lang w:eastAsia="ja-JP"/>
              </w:rPr>
              <w:t>s Investment Corporation (CIIC), National Environment Services (NES).</w:t>
            </w:r>
          </w:p>
          <w:p w14:paraId="6D9D28DA" w14:textId="77777777"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14:paraId="41352B75" w14:textId="77777777"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14:paraId="7B030D66" w14:textId="77777777" w:rsidR="00C45E09"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r w:rsidR="00C45E09">
              <w:rPr>
                <w:rFonts w:cs="Arial"/>
                <w:i/>
                <w:color w:val="808080" w:themeColor="background1" w:themeShade="80"/>
                <w:sz w:val="20"/>
                <w:szCs w:val="20"/>
                <w:lang w:eastAsia="ja-JP"/>
              </w:rPr>
              <w:t xml:space="preserve"> </w:t>
            </w:r>
          </w:p>
          <w:p w14:paraId="621E20FD" w14:textId="40B50163" w:rsidR="009502EA" w:rsidRDefault="009502EA" w:rsidP="00E32603">
            <w:pPr>
              <w:rPr>
                <w:rFonts w:cs="Arial"/>
                <w:i/>
                <w:color w:val="808080" w:themeColor="background1" w:themeShade="80"/>
                <w:sz w:val="20"/>
                <w:szCs w:val="20"/>
                <w:lang w:eastAsia="ja-JP"/>
              </w:rPr>
            </w:pPr>
            <w:r w:rsidRPr="003F1BB3">
              <w:rPr>
                <w:rFonts w:cs="Arial"/>
                <w:i/>
                <w:color w:val="FF0000"/>
                <w:sz w:val="20"/>
                <w:szCs w:val="20"/>
                <w:lang w:eastAsia="ja-JP"/>
              </w:rPr>
              <w:t>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w:t>
            </w:r>
            <w:r w:rsidRPr="00F97655">
              <w:rPr>
                <w:rFonts w:cs="Arial"/>
                <w:i/>
                <w:color w:val="808080" w:themeColor="background1" w:themeShade="80"/>
                <w:sz w:val="20"/>
                <w:szCs w:val="20"/>
                <w:lang w:eastAsia="ja-JP"/>
              </w:rPr>
              <w:t xml:space="preserve">. </w:t>
            </w:r>
          </w:p>
          <w:p w14:paraId="2EFB7598"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110D5549" w14:textId="77777777" w:rsidR="009502EA" w:rsidRDefault="009502EA" w:rsidP="00775DD1">
            <w:pP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14:paraId="478D854B" w14:textId="77777777" w:rsidR="00510BDD" w:rsidRDefault="00510BDD" w:rsidP="00775DD1">
            <w:pPr>
              <w:rPr>
                <w:rFonts w:cs="Arial"/>
                <w:i/>
                <w:color w:val="808080" w:themeColor="background1" w:themeShade="80"/>
                <w:sz w:val="20"/>
                <w:szCs w:val="20"/>
                <w:lang w:eastAsia="ja-JP"/>
              </w:rPr>
            </w:pPr>
          </w:p>
          <w:p w14:paraId="5EBCBDE1" w14:textId="2C492D34" w:rsidR="0079706C" w:rsidRPr="00764898" w:rsidRDefault="00775DD1" w:rsidP="00352E72">
            <w:pPr>
              <w:spacing w:before="240" w:line="240" w:lineRule="atLeast"/>
              <w:jc w:val="both"/>
              <w:rPr>
                <w:rFonts w:cs="Arial"/>
                <w:b/>
                <w:color w:val="000000" w:themeColor="text1"/>
                <w:lang w:eastAsia="ja-JP"/>
              </w:rPr>
            </w:pPr>
            <w:r w:rsidRPr="00764898">
              <w:rPr>
                <w:rFonts w:cs="Arial"/>
                <w:b/>
              </w:rPr>
              <w:t xml:space="preserve">Energy consumption in the Cook Islands is predominantly reliant on imported fossil fuels.  The electrification rates are 99.9% in Rarotonga and 90% in the outer islands.  </w:t>
            </w:r>
            <w:r w:rsidRPr="00764898">
              <w:rPr>
                <w:rFonts w:cs="Arial"/>
                <w:b/>
                <w:color w:val="000000" w:themeColor="text1"/>
                <w:lang w:eastAsia="ja-JP"/>
              </w:rPr>
              <w:t xml:space="preserve">The Cook Islands has made good progress towards the achievement of its aspirational renewable energy targets of 50% of islands powered by renewable energy by 2015 and 100% by 2020.  </w:t>
            </w:r>
            <w:r w:rsidR="00306548" w:rsidRPr="00764898">
              <w:rPr>
                <w:rFonts w:cs="Arial"/>
                <w:b/>
                <w:color w:val="000000" w:themeColor="text1"/>
                <w:lang w:eastAsia="ja-JP"/>
              </w:rPr>
              <w:t>Several</w:t>
            </w:r>
            <w:r w:rsidR="0079706C" w:rsidRPr="00764898">
              <w:rPr>
                <w:rFonts w:cs="Arial"/>
                <w:b/>
                <w:color w:val="000000" w:themeColor="text1"/>
                <w:lang w:eastAsia="ja-JP"/>
              </w:rPr>
              <w:t xml:space="preserve"> </w:t>
            </w:r>
            <w:r w:rsidR="00306548" w:rsidRPr="00764898">
              <w:rPr>
                <w:rFonts w:cs="Arial"/>
                <w:b/>
                <w:color w:val="000000" w:themeColor="text1"/>
                <w:lang w:eastAsia="ja-JP"/>
              </w:rPr>
              <w:t xml:space="preserve">PV projects </w:t>
            </w:r>
            <w:r w:rsidR="0079706C" w:rsidRPr="00764898">
              <w:rPr>
                <w:rFonts w:cs="Arial"/>
                <w:b/>
                <w:color w:val="000000" w:themeColor="text1"/>
                <w:lang w:eastAsia="ja-JP"/>
              </w:rPr>
              <w:t xml:space="preserve">have been completed in the Northern and Southern islands.  Although, PV projects have been completed or planned in Rarotonga it can only supplement the electricity demand due to system constraints.  Hence, demand-side efficiency measures need to be undertaken to reduce fossil fuel (diesel) generation.  The situation is also compounded by the fact that most of the generators are operating at lower efficiency due to its age and the financial constraints </w:t>
            </w:r>
            <w:r w:rsidR="006663DD" w:rsidRPr="00764898">
              <w:rPr>
                <w:rFonts w:cs="Arial"/>
                <w:b/>
                <w:color w:val="000000" w:themeColor="text1"/>
                <w:lang w:eastAsia="ja-JP"/>
              </w:rPr>
              <w:t>for replacements.</w:t>
            </w:r>
            <w:r w:rsidR="0079706C" w:rsidRPr="00764898">
              <w:rPr>
                <w:rFonts w:cs="Arial"/>
                <w:b/>
                <w:color w:val="000000" w:themeColor="text1"/>
                <w:lang w:eastAsia="ja-JP"/>
              </w:rPr>
              <w:t xml:space="preserve"> </w:t>
            </w:r>
            <w:r w:rsidR="00C13895" w:rsidRPr="00764898">
              <w:rPr>
                <w:rFonts w:cs="Arial"/>
                <w:b/>
                <w:color w:val="000000" w:themeColor="text1"/>
                <w:lang w:eastAsia="ja-JP"/>
              </w:rPr>
              <w:t xml:space="preserve"> The current </w:t>
            </w:r>
            <w:r w:rsidR="00C45E09" w:rsidRPr="00764898">
              <w:rPr>
                <w:rFonts w:cs="Arial"/>
                <w:b/>
                <w:color w:val="000000" w:themeColor="text1"/>
                <w:lang w:eastAsia="ja-JP"/>
              </w:rPr>
              <w:t>Emission Factor is 0.83 tCO</w:t>
            </w:r>
            <w:r w:rsidR="00C45E09" w:rsidRPr="00764898">
              <w:rPr>
                <w:rFonts w:cs="Arial"/>
                <w:b/>
                <w:color w:val="000000" w:themeColor="text1"/>
                <w:vertAlign w:val="subscript"/>
                <w:lang w:eastAsia="ja-JP"/>
              </w:rPr>
              <w:t>2</w:t>
            </w:r>
            <w:r w:rsidR="00C45E09" w:rsidRPr="00764898">
              <w:rPr>
                <w:rFonts w:cs="Arial"/>
                <w:b/>
                <w:color w:val="000000" w:themeColor="text1"/>
                <w:lang w:eastAsia="ja-JP"/>
              </w:rPr>
              <w:t>e/MWh.</w:t>
            </w:r>
          </w:p>
          <w:p w14:paraId="633A5028" w14:textId="099ACA3B" w:rsidR="00352E72" w:rsidRPr="00764898" w:rsidRDefault="00C45E09" w:rsidP="00352E72">
            <w:pPr>
              <w:spacing w:before="240" w:line="240" w:lineRule="atLeast"/>
              <w:jc w:val="both"/>
              <w:rPr>
                <w:b/>
              </w:rPr>
            </w:pPr>
            <w:r w:rsidRPr="00764898">
              <w:rPr>
                <w:b/>
              </w:rPr>
              <w:t>The Cook Islands was the recipient of a regional project titled “Promoting Energy Efficiency in the Pacific (PEEP)” which was implemented in two phases from 2008 to 2015. The project was implemented by the Asian Development Bank (ADB) with co-funding from the Global Environment Facility (ADB)</w:t>
            </w:r>
            <w:r w:rsidR="00352E72" w:rsidRPr="00764898">
              <w:rPr>
                <w:b/>
              </w:rPr>
              <w:t>.  The first phase which was concluded in May 2011 focused on conducting pilot programmes and identifying a pipeline of energy efficiency projects for implementation.  The objective of Phase 2 (PEEP2) was to implement EE measures in the 5 PDMCs in order to contribute to achieving the overall goal reducing energy consumption in the residential, commercial and public sectors through the implementation of energy efficiency measures, and to establish the policy and implementation frameworks to move towards the goals of reducing fossil fuel imports, achieving total energy savings, and reducing greenhouse gas (GHG) emissions.</w:t>
            </w:r>
          </w:p>
          <w:p w14:paraId="0F9F4828" w14:textId="08E82D86" w:rsidR="00C45E09" w:rsidRPr="00764898" w:rsidRDefault="00352E72" w:rsidP="00C45E09">
            <w:pPr>
              <w:spacing w:before="240" w:line="240" w:lineRule="atLeast"/>
              <w:rPr>
                <w:b/>
              </w:rPr>
            </w:pPr>
            <w:r w:rsidRPr="00764898">
              <w:rPr>
                <w:b/>
              </w:rPr>
              <w:t>Under PEEP2, a total of 34 EE/RE projects were implemented in the 5 participating countries (Cook Islands, Papua New Guinea, Samoa, Tonga and Vanuatu); of which the Cook Islands accounted for 9 projects covering commercial, residential and public sectors</w:t>
            </w:r>
            <w:r w:rsidR="00237F55" w:rsidRPr="00764898">
              <w:rPr>
                <w:b/>
              </w:rPr>
              <w:t>.  The projects included EE street lighting, EE lighting in buildings, air-conditioning, refrigerators/freezers and Solar Water Heating (SWH).  The impact of the projects included:</w:t>
            </w:r>
          </w:p>
          <w:p w14:paraId="4E272606" w14:textId="097FCBF0" w:rsidR="00237F55" w:rsidRPr="00764898" w:rsidRDefault="00237F55" w:rsidP="00237F55">
            <w:pPr>
              <w:pStyle w:val="ListParagraph"/>
              <w:numPr>
                <w:ilvl w:val="0"/>
                <w:numId w:val="2"/>
              </w:numPr>
              <w:spacing w:before="240" w:line="240" w:lineRule="atLeast"/>
              <w:rPr>
                <w:b/>
              </w:rPr>
            </w:pPr>
            <w:r w:rsidRPr="00764898">
              <w:rPr>
                <w:b/>
              </w:rPr>
              <w:t>Energy savings:  325,225 kWh/year</w:t>
            </w:r>
          </w:p>
          <w:p w14:paraId="06BF6745" w14:textId="03E83C2B" w:rsidR="00237F55" w:rsidRPr="00764898" w:rsidRDefault="00237F55" w:rsidP="00237F55">
            <w:pPr>
              <w:pStyle w:val="ListParagraph"/>
              <w:numPr>
                <w:ilvl w:val="0"/>
                <w:numId w:val="2"/>
              </w:numPr>
              <w:spacing w:before="240" w:line="240" w:lineRule="atLeast"/>
              <w:rPr>
                <w:b/>
              </w:rPr>
            </w:pPr>
            <w:r w:rsidRPr="00764898">
              <w:rPr>
                <w:b/>
              </w:rPr>
              <w:t>Diesel Generation savings: 153,310 litres/year</w:t>
            </w:r>
          </w:p>
          <w:p w14:paraId="7F58F643" w14:textId="18B6C7AF" w:rsidR="00237F55" w:rsidRPr="00764898" w:rsidRDefault="00237F55" w:rsidP="00237F55">
            <w:pPr>
              <w:pStyle w:val="ListParagraph"/>
              <w:numPr>
                <w:ilvl w:val="0"/>
                <w:numId w:val="2"/>
              </w:numPr>
              <w:spacing w:before="240" w:line="240" w:lineRule="atLeast"/>
              <w:rPr>
                <w:b/>
              </w:rPr>
            </w:pPr>
            <w:r w:rsidRPr="00764898">
              <w:rPr>
                <w:b/>
              </w:rPr>
              <w:t>GHG Reduction:  471 tCO</w:t>
            </w:r>
            <w:r w:rsidRPr="00764898">
              <w:rPr>
                <w:b/>
                <w:vertAlign w:val="subscript"/>
              </w:rPr>
              <w:t>2</w:t>
            </w:r>
            <w:r w:rsidRPr="00764898">
              <w:rPr>
                <w:b/>
              </w:rPr>
              <w:t>e/year</w:t>
            </w:r>
          </w:p>
          <w:p w14:paraId="4A07F006" w14:textId="77777777" w:rsidR="0007525A" w:rsidRPr="00764898" w:rsidRDefault="00C45E09" w:rsidP="0007525A">
            <w:pPr>
              <w:jc w:val="both"/>
              <w:rPr>
                <w:b/>
              </w:rPr>
            </w:pPr>
            <w:r w:rsidRPr="00764898">
              <w:rPr>
                <w:b/>
              </w:rPr>
              <w:t xml:space="preserve"> </w:t>
            </w:r>
          </w:p>
          <w:p w14:paraId="25CC72EC" w14:textId="1753ECA1" w:rsidR="0007525A" w:rsidRPr="00764898" w:rsidRDefault="0007525A" w:rsidP="0007525A">
            <w:pPr>
              <w:jc w:val="both"/>
              <w:rPr>
                <w:b/>
                <w:szCs w:val="28"/>
              </w:rPr>
            </w:pPr>
            <w:r w:rsidRPr="00764898">
              <w:rPr>
                <w:b/>
                <w:szCs w:val="28"/>
              </w:rPr>
              <w:t xml:space="preserve">In 2018, the ClimateWorks Foundation has provided financial assistance to the Cook Islands, under Kigali Cooling Efficiency Program (K-CEP), focusing on promoting energy efficiency in cooling and phasing out the use of high global warming potential (GWP) refrigerants.   The project focuses on promoting energy efficient and climate-friendly air-conditioners in the hotel, commercial and residential sectors.  The scope includes the development of a financial mechanism to accelerate the market adoption and large-scale implementation of EE and climate friendly air-conditioners (ACs).  </w:t>
            </w:r>
            <w:r w:rsidR="00213646" w:rsidRPr="00764898">
              <w:rPr>
                <w:b/>
                <w:szCs w:val="28"/>
              </w:rPr>
              <w:t>A financial mechanism has been developed with the Bank of the Cook Islands (BCI)</w:t>
            </w:r>
            <w:r w:rsidRPr="00764898">
              <w:rPr>
                <w:b/>
                <w:szCs w:val="28"/>
              </w:rPr>
              <w:t xml:space="preserve"> that would offer incentives to both consumers and AC suppliers for the purchase of energy efficient ACs. The proposal is to pilot test a financing program for energy efficient ACs using the K-</w:t>
            </w:r>
            <w:r w:rsidRPr="00764898">
              <w:rPr>
                <w:b/>
                <w:szCs w:val="28"/>
              </w:rPr>
              <w:lastRenderedPageBreak/>
              <w:t>CEP funds as guarantee for the portfolio of loans to be generated. Additional funding will be provided by the Climate Works Foundation, if the piloted financial mechanism is successful. An assumed default rate will be agreed upon, which will be higher than the actual default rate of the bank over the past 3 years.  A Loan Guarantee Fund (LGF) account equal to the agreed assumed default rate of the original principal amount of the loan portfolio will be set up</w:t>
            </w:r>
            <w:r w:rsidR="00213646" w:rsidRPr="00764898">
              <w:rPr>
                <w:b/>
                <w:szCs w:val="28"/>
              </w:rPr>
              <w:t>.  This program is currently in the implementation phase and scheduled to be completed in December 2019.</w:t>
            </w:r>
          </w:p>
          <w:p w14:paraId="7403D7F3" w14:textId="1A8C8AC3" w:rsidR="00C45E09" w:rsidRPr="00764898" w:rsidRDefault="00214E6A" w:rsidP="00352E72">
            <w:pPr>
              <w:spacing w:before="240" w:line="240" w:lineRule="atLeast"/>
              <w:rPr>
                <w:b/>
              </w:rPr>
            </w:pPr>
            <w:r w:rsidRPr="00764898">
              <w:rPr>
                <w:b/>
              </w:rPr>
              <w:t>The scope of this proposal is to use the established business models from the ADB and ClimateWorks projects to expand the adoption of EE and RE technologies across all sectors to reduce the demand for diesel generation and reduce GHG consistent with the policies of the Cook Islands Government.  The proposed programs include:</w:t>
            </w:r>
          </w:p>
          <w:p w14:paraId="47BA46A6" w14:textId="6B797549" w:rsidR="00214E6A" w:rsidRPr="00764898" w:rsidRDefault="00214E6A" w:rsidP="00214E6A">
            <w:pPr>
              <w:pStyle w:val="NormalWeb"/>
              <w:numPr>
                <w:ilvl w:val="0"/>
                <w:numId w:val="5"/>
              </w:numPr>
              <w:rPr>
                <w:b/>
              </w:rPr>
            </w:pPr>
            <w:r w:rsidRPr="00764898">
              <w:rPr>
                <w:b/>
              </w:rPr>
              <w:t>Public</w:t>
            </w:r>
            <w:r w:rsidR="00764898">
              <w:rPr>
                <w:b/>
              </w:rPr>
              <w:t xml:space="preserve"> </w:t>
            </w:r>
            <w:r w:rsidR="00C01DE3">
              <w:rPr>
                <w:b/>
              </w:rPr>
              <w:t xml:space="preserve">and </w:t>
            </w:r>
            <w:r w:rsidR="00764898">
              <w:rPr>
                <w:b/>
              </w:rPr>
              <w:t>Community</w:t>
            </w:r>
            <w:r w:rsidRPr="00764898">
              <w:rPr>
                <w:b/>
              </w:rPr>
              <w:t xml:space="preserve"> buildings - Lighting and RAC </w:t>
            </w:r>
          </w:p>
          <w:p w14:paraId="5035352E" w14:textId="7E0E339E" w:rsidR="00214E6A" w:rsidRPr="00764898" w:rsidRDefault="00214E6A" w:rsidP="00214E6A">
            <w:pPr>
              <w:pStyle w:val="NormalWeb"/>
              <w:numPr>
                <w:ilvl w:val="0"/>
                <w:numId w:val="5"/>
              </w:numPr>
              <w:rPr>
                <w:b/>
              </w:rPr>
            </w:pPr>
            <w:r w:rsidRPr="00764898">
              <w:rPr>
                <w:b/>
              </w:rPr>
              <w:t>Commercial buildings - Refrigerators/freezers, RACs, lighting, solar PV rooftop and Solar Water Heaters</w:t>
            </w:r>
          </w:p>
          <w:p w14:paraId="2259D38C" w14:textId="08FBA59B" w:rsidR="00C45E09" w:rsidRPr="00764898" w:rsidRDefault="00214E6A" w:rsidP="00142085">
            <w:pPr>
              <w:pStyle w:val="NormalWeb"/>
              <w:numPr>
                <w:ilvl w:val="0"/>
                <w:numId w:val="5"/>
              </w:numPr>
              <w:spacing w:before="240" w:after="40" w:line="240" w:lineRule="atLeast"/>
              <w:rPr>
                <w:rFonts w:cs="Arial"/>
                <w:color w:val="000000" w:themeColor="text1"/>
                <w:lang w:eastAsia="ja-JP"/>
              </w:rPr>
            </w:pPr>
            <w:r w:rsidRPr="00764898">
              <w:rPr>
                <w:b/>
              </w:rPr>
              <w:t>Residential - Refrigerators/freezers, RACs, Solar Water Heaters</w:t>
            </w:r>
          </w:p>
          <w:p w14:paraId="5D8515A3" w14:textId="77777777" w:rsidR="00510BDD" w:rsidRDefault="00510BDD" w:rsidP="00E32603">
            <w:pPr>
              <w:pBdr>
                <w:bottom w:val="single" w:sz="12" w:space="1" w:color="auto"/>
              </w:pBdr>
              <w:rPr>
                <w:rFonts w:cs="Arial"/>
                <w:i/>
                <w:color w:val="808080" w:themeColor="background1" w:themeShade="80"/>
                <w:sz w:val="20"/>
                <w:szCs w:val="20"/>
                <w:lang w:eastAsia="ja-JP"/>
              </w:rPr>
            </w:pPr>
          </w:p>
          <w:p w14:paraId="6BD8259B" w14:textId="77777777" w:rsidR="00510BDD" w:rsidRDefault="00510BDD" w:rsidP="00E32603">
            <w:pPr>
              <w:pBdr>
                <w:bottom w:val="single" w:sz="12" w:space="1" w:color="auto"/>
              </w:pBdr>
              <w:rPr>
                <w:rFonts w:cs="Arial"/>
                <w:i/>
                <w:color w:val="808080" w:themeColor="background1" w:themeShade="80"/>
                <w:sz w:val="20"/>
                <w:szCs w:val="20"/>
                <w:lang w:eastAsia="ja-JP"/>
              </w:rPr>
            </w:pPr>
          </w:p>
          <w:p w14:paraId="5E27A058" w14:textId="77777777" w:rsidR="00510BDD" w:rsidRDefault="00510BDD" w:rsidP="00E32603">
            <w:pPr>
              <w:pBdr>
                <w:bottom w:val="single" w:sz="12" w:space="1" w:color="auto"/>
              </w:pBdr>
              <w:rPr>
                <w:rFonts w:cs="Arial"/>
                <w:i/>
                <w:color w:val="808080" w:themeColor="background1" w:themeShade="80"/>
                <w:sz w:val="20"/>
                <w:szCs w:val="20"/>
                <w:lang w:eastAsia="ja-JP"/>
              </w:rPr>
            </w:pPr>
          </w:p>
          <w:p w14:paraId="313F45AF" w14:textId="77777777" w:rsidR="00510BDD" w:rsidRDefault="00510BDD" w:rsidP="00E32603">
            <w:pPr>
              <w:pBdr>
                <w:bottom w:val="single" w:sz="12" w:space="1" w:color="auto"/>
              </w:pBdr>
              <w:rPr>
                <w:rFonts w:cs="Arial"/>
                <w:i/>
                <w:color w:val="808080" w:themeColor="background1" w:themeShade="80"/>
                <w:sz w:val="20"/>
                <w:szCs w:val="20"/>
                <w:lang w:eastAsia="ja-JP"/>
              </w:rPr>
            </w:pPr>
          </w:p>
          <w:p w14:paraId="63610BC3" w14:textId="77777777" w:rsidR="00510BDD" w:rsidRDefault="00510BDD" w:rsidP="00E32603">
            <w:pPr>
              <w:pBdr>
                <w:bottom w:val="single" w:sz="12" w:space="1" w:color="auto"/>
              </w:pBdr>
              <w:rPr>
                <w:rFonts w:cs="Arial"/>
                <w:i/>
                <w:color w:val="808080" w:themeColor="background1" w:themeShade="80"/>
                <w:sz w:val="20"/>
                <w:szCs w:val="20"/>
                <w:lang w:eastAsia="ja-JP"/>
              </w:rPr>
            </w:pPr>
          </w:p>
          <w:p w14:paraId="1D0D12BB" w14:textId="77777777" w:rsidR="00917367" w:rsidRDefault="00917367" w:rsidP="00E32603">
            <w:pPr>
              <w:pBdr>
                <w:bottom w:val="single" w:sz="12" w:space="1" w:color="auto"/>
              </w:pBdr>
              <w:rPr>
                <w:rFonts w:cs="Arial"/>
                <w:i/>
                <w:color w:val="808080" w:themeColor="background1" w:themeShade="80"/>
                <w:sz w:val="20"/>
                <w:szCs w:val="20"/>
                <w:lang w:eastAsia="ja-JP"/>
              </w:rPr>
            </w:pPr>
          </w:p>
          <w:p w14:paraId="19945013" w14:textId="77777777"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14:paraId="69D0AEF5" w14:textId="77777777"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14:paraId="05D4E6D7" w14:textId="77777777" w:rsidR="00510BDD" w:rsidRDefault="00510BDD" w:rsidP="00E32603">
            <w:pPr>
              <w:spacing w:before="40" w:after="40"/>
              <w:ind w:right="-28"/>
              <w:rPr>
                <w:rFonts w:cs="Arial"/>
                <w:i/>
                <w:color w:val="808080" w:themeColor="background1" w:themeShade="80"/>
                <w:sz w:val="20"/>
                <w:szCs w:val="20"/>
                <w:lang w:eastAsia="ja-JP"/>
              </w:rPr>
            </w:pPr>
          </w:p>
          <w:p w14:paraId="53A886EB" w14:textId="2F0FCDD9" w:rsidR="00510BDD" w:rsidRPr="00817793" w:rsidRDefault="00817793" w:rsidP="00E32603">
            <w:pPr>
              <w:spacing w:before="40" w:after="40"/>
              <w:ind w:right="-28"/>
              <w:rPr>
                <w:rFonts w:cs="Arial"/>
                <w:b/>
                <w:sz w:val="20"/>
                <w:szCs w:val="20"/>
                <w:lang w:eastAsia="ja-JP"/>
              </w:rPr>
            </w:pPr>
            <w:r>
              <w:rPr>
                <w:rFonts w:cs="Arial"/>
                <w:b/>
                <w:sz w:val="20"/>
                <w:szCs w:val="20"/>
                <w:lang w:eastAsia="ja-JP"/>
              </w:rPr>
              <w:t>The Renewable Energy Development Division been working in collaboration with ADB, IIEC, CIIC</w:t>
            </w:r>
            <w:r w:rsidR="00AE1A9D">
              <w:rPr>
                <w:rFonts w:cs="Arial"/>
                <w:b/>
                <w:sz w:val="20"/>
                <w:szCs w:val="20"/>
                <w:lang w:eastAsia="ja-JP"/>
              </w:rPr>
              <w:t xml:space="preserve">, MFEM (Customs), Project Recipients and Importers on past EE Projects. Further consultation </w:t>
            </w:r>
            <w:r w:rsidR="00C01DE3">
              <w:rPr>
                <w:rFonts w:cs="Arial"/>
                <w:b/>
                <w:sz w:val="20"/>
                <w:szCs w:val="20"/>
                <w:lang w:eastAsia="ja-JP"/>
              </w:rPr>
              <w:t xml:space="preserve">with stakeholders </w:t>
            </w:r>
            <w:r w:rsidR="00AE1A9D">
              <w:rPr>
                <w:rFonts w:cs="Arial"/>
                <w:b/>
                <w:sz w:val="20"/>
                <w:szCs w:val="20"/>
                <w:lang w:eastAsia="ja-JP"/>
              </w:rPr>
              <w:t xml:space="preserve">will be undertaken to </w:t>
            </w:r>
            <w:r w:rsidR="00C01DE3">
              <w:rPr>
                <w:rFonts w:cs="Arial"/>
                <w:b/>
                <w:sz w:val="20"/>
                <w:szCs w:val="20"/>
                <w:lang w:eastAsia="ja-JP"/>
              </w:rPr>
              <w:t xml:space="preserve">scale up </w:t>
            </w:r>
            <w:r w:rsidR="00AE1A9D">
              <w:rPr>
                <w:rFonts w:cs="Arial"/>
                <w:b/>
                <w:sz w:val="20"/>
                <w:szCs w:val="20"/>
                <w:lang w:eastAsia="ja-JP"/>
              </w:rPr>
              <w:t>this proposal into full project proposal for funding.</w:t>
            </w:r>
          </w:p>
          <w:p w14:paraId="323E932D" w14:textId="77777777"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14:paraId="25A0F765" w14:textId="77777777"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14:paraId="2B3FB390" w14:textId="77777777"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14:paraId="45D854EF" w14:textId="77777777" w:rsidR="009502EA" w:rsidRPr="00F97655" w:rsidRDefault="009502EA" w:rsidP="00E32603">
            <w:pPr>
              <w:spacing w:before="40" w:after="40"/>
              <w:ind w:right="-28"/>
              <w:rPr>
                <w:rFonts w:cs="Arial"/>
                <w:i/>
                <w:color w:val="808080" w:themeColor="background1" w:themeShade="80"/>
                <w:sz w:val="20"/>
                <w:szCs w:val="20"/>
                <w:lang w:eastAsia="ja-JP"/>
              </w:rPr>
            </w:pPr>
          </w:p>
          <w:p w14:paraId="173F2274"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14:paraId="6C197682" w14:textId="77777777" w:rsidR="00917367" w:rsidRDefault="00917367" w:rsidP="00E32603">
            <w:pPr>
              <w:rPr>
                <w:rFonts w:cs="Arial"/>
                <w:color w:val="808080" w:themeColor="background1" w:themeShade="80"/>
                <w:sz w:val="20"/>
                <w:szCs w:val="20"/>
                <w:lang w:eastAsia="ja-JP"/>
              </w:rPr>
            </w:pPr>
          </w:p>
          <w:p w14:paraId="7C495DA3" w14:textId="7C2F9864" w:rsidR="00846DFE" w:rsidRPr="00551D51" w:rsidRDefault="00846DFE" w:rsidP="00846DFE">
            <w:pPr>
              <w:rPr>
                <w:rFonts w:cs="Arial"/>
                <w:b/>
                <w:sz w:val="20"/>
                <w:szCs w:val="20"/>
                <w:lang w:eastAsia="ja-JP"/>
              </w:rPr>
            </w:pPr>
            <w:r w:rsidRPr="00551D51">
              <w:rPr>
                <w:rFonts w:cs="Arial"/>
                <w:b/>
                <w:sz w:val="20"/>
                <w:szCs w:val="20"/>
                <w:lang w:eastAsia="ja-JP"/>
              </w:rPr>
              <w:t xml:space="preserve">The proposed project is expected to have a </w:t>
            </w:r>
            <w:r>
              <w:rPr>
                <w:rFonts w:cs="Arial"/>
                <w:b/>
                <w:sz w:val="20"/>
                <w:szCs w:val="20"/>
                <w:lang w:eastAsia="ja-JP"/>
              </w:rPr>
              <w:t>10</w:t>
            </w:r>
            <w:r w:rsidRPr="00551D51">
              <w:rPr>
                <w:rFonts w:cs="Arial"/>
                <w:b/>
                <w:sz w:val="20"/>
                <w:szCs w:val="20"/>
                <w:lang w:eastAsia="ja-JP"/>
              </w:rPr>
              <w:t xml:space="preserve"> year life</w:t>
            </w:r>
            <w:r>
              <w:rPr>
                <w:rFonts w:cs="Arial"/>
                <w:b/>
                <w:sz w:val="20"/>
                <w:szCs w:val="20"/>
                <w:lang w:eastAsia="ja-JP"/>
              </w:rPr>
              <w:t xml:space="preserve"> pending on the various appliances</w:t>
            </w:r>
            <w:r w:rsidRPr="00551D51">
              <w:rPr>
                <w:rFonts w:cs="Arial"/>
                <w:b/>
                <w:sz w:val="20"/>
                <w:szCs w:val="20"/>
                <w:lang w:eastAsia="ja-JP"/>
              </w:rPr>
              <w:t xml:space="preserve">. The asset will be owned by </w:t>
            </w:r>
            <w:r>
              <w:rPr>
                <w:rFonts w:cs="Arial"/>
                <w:b/>
                <w:sz w:val="20"/>
                <w:szCs w:val="20"/>
                <w:lang w:eastAsia="ja-JP"/>
              </w:rPr>
              <w:t>recipients and if is government premises assets will be owned by CIIC</w:t>
            </w:r>
            <w:r w:rsidRPr="00551D51">
              <w:rPr>
                <w:rFonts w:cs="Arial"/>
                <w:b/>
                <w:sz w:val="20"/>
                <w:szCs w:val="20"/>
                <w:lang w:eastAsia="ja-JP"/>
              </w:rPr>
              <w:t>. CIIC is responsible for managing Cook Islands government assets and state owned enterprises, and is therefore very well placed to provide a long term asset manag</w:t>
            </w:r>
            <w:r w:rsidR="00C01DE3">
              <w:rPr>
                <w:rFonts w:cs="Arial"/>
                <w:b/>
                <w:sz w:val="20"/>
                <w:szCs w:val="20"/>
                <w:lang w:eastAsia="ja-JP"/>
              </w:rPr>
              <w:t>ement strategy for the project and provide support to the non-government recipients for assets managements.</w:t>
            </w:r>
          </w:p>
          <w:p w14:paraId="259A2436" w14:textId="77777777" w:rsidR="00846DFE" w:rsidRPr="00551D51" w:rsidRDefault="00846DFE" w:rsidP="00846DFE">
            <w:pPr>
              <w:rPr>
                <w:rFonts w:cs="Arial"/>
                <w:b/>
                <w:sz w:val="20"/>
                <w:szCs w:val="20"/>
                <w:lang w:eastAsia="ja-JP"/>
              </w:rPr>
            </w:pPr>
          </w:p>
          <w:p w14:paraId="5AA32352" w14:textId="1E03B550" w:rsidR="00C01DE3" w:rsidRDefault="00C01DE3" w:rsidP="00846DFE">
            <w:pPr>
              <w:rPr>
                <w:rFonts w:cs="Arial"/>
                <w:b/>
                <w:sz w:val="20"/>
                <w:szCs w:val="20"/>
                <w:lang w:eastAsia="ja-JP"/>
              </w:rPr>
            </w:pPr>
            <w:r>
              <w:rPr>
                <w:rFonts w:cs="Arial"/>
                <w:b/>
                <w:sz w:val="20"/>
                <w:szCs w:val="20"/>
                <w:lang w:eastAsia="ja-JP"/>
              </w:rPr>
              <w:t>The Implementation of the project will be monitored and controlled by the Renewable Energy Development Division that have been working with similar projects across the country. Their experience working with Donor Partners and International consultants will provide confidence in ensuring that this project is sustainable.</w:t>
            </w:r>
          </w:p>
          <w:p w14:paraId="2B810627" w14:textId="77777777" w:rsidR="00C01DE3" w:rsidRDefault="00C01DE3" w:rsidP="00846DFE">
            <w:pPr>
              <w:rPr>
                <w:rFonts w:cs="Arial"/>
                <w:b/>
                <w:sz w:val="20"/>
                <w:szCs w:val="20"/>
                <w:lang w:eastAsia="ja-JP"/>
              </w:rPr>
            </w:pPr>
          </w:p>
          <w:p w14:paraId="684ECE2C" w14:textId="5E647804" w:rsidR="00C01DE3" w:rsidRDefault="00C01DE3" w:rsidP="00846DFE">
            <w:pPr>
              <w:rPr>
                <w:rFonts w:cs="Arial"/>
                <w:b/>
                <w:sz w:val="20"/>
                <w:szCs w:val="20"/>
                <w:lang w:eastAsia="ja-JP"/>
              </w:rPr>
            </w:pPr>
            <w:r>
              <w:rPr>
                <w:rFonts w:cs="Arial"/>
                <w:b/>
                <w:sz w:val="20"/>
                <w:szCs w:val="20"/>
                <w:lang w:eastAsia="ja-JP"/>
              </w:rPr>
              <w:t>The experience of the Bank of the Cook Islands can provide confidence in the repayments of any capital investments if it going thru a loan scheme and a subsidized system.</w:t>
            </w:r>
          </w:p>
          <w:p w14:paraId="6E7BF6C5" w14:textId="77777777" w:rsidR="00C01DE3" w:rsidRDefault="00C01DE3" w:rsidP="00846DFE">
            <w:pPr>
              <w:rPr>
                <w:rFonts w:cs="Arial"/>
                <w:b/>
                <w:sz w:val="20"/>
                <w:szCs w:val="20"/>
                <w:lang w:eastAsia="ja-JP"/>
              </w:rPr>
            </w:pPr>
          </w:p>
          <w:p w14:paraId="7B64E404" w14:textId="77777777" w:rsidR="00917367" w:rsidRDefault="00917367" w:rsidP="00E32603">
            <w:pPr>
              <w:rPr>
                <w:rFonts w:cs="Arial"/>
                <w:color w:val="808080" w:themeColor="background1" w:themeShade="80"/>
                <w:sz w:val="20"/>
                <w:szCs w:val="20"/>
                <w:lang w:eastAsia="ja-JP"/>
              </w:rPr>
            </w:pPr>
          </w:p>
          <w:p w14:paraId="688C6C14" w14:textId="77777777" w:rsidR="00917367" w:rsidRPr="00917367" w:rsidRDefault="00917367" w:rsidP="00E32603">
            <w:pPr>
              <w:rPr>
                <w:rFonts w:cs="Arial"/>
                <w:color w:val="808080" w:themeColor="background1" w:themeShade="80"/>
                <w:sz w:val="20"/>
                <w:szCs w:val="20"/>
                <w:lang w:eastAsia="ja-JP"/>
              </w:rPr>
            </w:pPr>
          </w:p>
        </w:tc>
      </w:tr>
      <w:tr w:rsidR="00E32603" w14:paraId="3F852241" w14:textId="77777777" w:rsidTr="005F7477">
        <w:trPr>
          <w:gridAfter w:val="1"/>
          <w:wAfter w:w="8" w:type="dxa"/>
        </w:trPr>
        <w:tc>
          <w:tcPr>
            <w:tcW w:w="3823" w:type="dxa"/>
          </w:tcPr>
          <w:p w14:paraId="25A2BDD2" w14:textId="77777777" w:rsidR="00E32603" w:rsidRDefault="00E32603" w:rsidP="00E32603"/>
        </w:tc>
        <w:tc>
          <w:tcPr>
            <w:tcW w:w="6385" w:type="dxa"/>
          </w:tcPr>
          <w:p w14:paraId="6F58DF8D" w14:textId="77777777" w:rsidR="00E32603" w:rsidRDefault="00E32603" w:rsidP="00E32603"/>
        </w:tc>
      </w:tr>
    </w:tbl>
    <w:p w14:paraId="717FDF2B" w14:textId="77777777" w:rsidR="004A53FB" w:rsidRDefault="004A53FB" w:rsidP="004A53FB"/>
    <w:p w14:paraId="51A1605E" w14:textId="77777777" w:rsidR="009502EA" w:rsidRDefault="009502EA" w:rsidP="004A53FB">
      <w:pPr>
        <w:rPr>
          <w:b/>
        </w:rPr>
      </w:pPr>
      <w:r w:rsidRPr="009502EA">
        <w:rPr>
          <w:b/>
        </w:rPr>
        <w:t>Assessed By and Date:</w:t>
      </w:r>
    </w:p>
    <w:p w14:paraId="36FAD7C8" w14:textId="77777777" w:rsidR="00917367" w:rsidRDefault="00917367" w:rsidP="004A53FB"/>
    <w:p w14:paraId="5034E122" w14:textId="77777777" w:rsidR="00917367" w:rsidRPr="00917367" w:rsidRDefault="00917367" w:rsidP="004A53FB"/>
    <w:p w14:paraId="17ADA826" w14:textId="77777777" w:rsidR="009502EA" w:rsidRDefault="009502EA" w:rsidP="004A53FB">
      <w:pPr>
        <w:rPr>
          <w:b/>
        </w:rPr>
      </w:pPr>
      <w:r w:rsidRPr="009502EA">
        <w:rPr>
          <w:b/>
        </w:rPr>
        <w:t>Recommendation:</w:t>
      </w:r>
    </w:p>
    <w:p w14:paraId="7C1888A0" w14:textId="77777777" w:rsidR="00917367" w:rsidRDefault="00917367" w:rsidP="004A53FB"/>
    <w:p w14:paraId="54AA8062" w14:textId="77777777" w:rsidR="0090700F" w:rsidRDefault="0090700F" w:rsidP="0090700F">
      <w:pPr>
        <w:spacing w:before="40" w:after="40"/>
        <w:rPr>
          <w:rFonts w:cs="Arial"/>
          <w:color w:val="808080" w:themeColor="background1" w:themeShade="80"/>
          <w:sz w:val="20"/>
          <w:szCs w:val="20"/>
          <w:lang w:eastAsia="ja-JP"/>
        </w:rPr>
      </w:pPr>
    </w:p>
    <w:p w14:paraId="2C0C06BF" w14:textId="77777777" w:rsidR="0090700F" w:rsidRDefault="0090700F" w:rsidP="0090700F">
      <w:pPr>
        <w:spacing w:before="40" w:after="40"/>
        <w:rPr>
          <w:rFonts w:ascii="Trebuchet MS" w:hAnsi="Trebuchet MS"/>
          <w:iCs/>
          <w:sz w:val="20"/>
          <w:szCs w:val="20"/>
        </w:rPr>
      </w:pPr>
      <w:r>
        <w:rPr>
          <w:rFonts w:ascii="Trebuchet MS" w:hAnsi="Trebuchet MS"/>
          <w:iCs/>
          <w:sz w:val="20"/>
          <w:szCs w:val="20"/>
        </w:rPr>
        <w:t>.</w:t>
      </w:r>
    </w:p>
    <w:p w14:paraId="646B8A60" w14:textId="77777777" w:rsidR="0090700F" w:rsidRDefault="0090700F" w:rsidP="0090700F">
      <w:pPr>
        <w:spacing w:before="40" w:after="40"/>
        <w:rPr>
          <w:rFonts w:cs="Arial"/>
          <w:color w:val="808080" w:themeColor="background1" w:themeShade="80"/>
          <w:sz w:val="20"/>
          <w:szCs w:val="20"/>
          <w:lang w:eastAsia="ja-JP"/>
        </w:rPr>
      </w:pPr>
    </w:p>
    <w:p w14:paraId="543E65A0" w14:textId="77777777" w:rsidR="00917367" w:rsidRDefault="00917367" w:rsidP="004A53FB"/>
    <w:p w14:paraId="78CD7C92" w14:textId="77777777"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E5FE" w14:textId="77777777" w:rsidR="008C19BB" w:rsidRDefault="008C19BB" w:rsidP="00E4135D">
      <w:pPr>
        <w:spacing w:after="0" w:line="240" w:lineRule="auto"/>
      </w:pPr>
      <w:r>
        <w:separator/>
      </w:r>
    </w:p>
  </w:endnote>
  <w:endnote w:type="continuationSeparator" w:id="0">
    <w:p w14:paraId="55723B97" w14:textId="77777777" w:rsidR="008C19BB" w:rsidRDefault="008C19BB" w:rsidP="00E4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15F01" w14:textId="77777777" w:rsidR="008C19BB" w:rsidRDefault="008C19BB" w:rsidP="00E4135D">
      <w:pPr>
        <w:spacing w:after="0" w:line="240" w:lineRule="auto"/>
      </w:pPr>
      <w:r>
        <w:separator/>
      </w:r>
    </w:p>
  </w:footnote>
  <w:footnote w:type="continuationSeparator" w:id="0">
    <w:p w14:paraId="0E1CF889" w14:textId="77777777" w:rsidR="008C19BB" w:rsidRDefault="008C19BB" w:rsidP="00E41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E3A07"/>
    <w:multiLevelType w:val="hybridMultilevel"/>
    <w:tmpl w:val="A8FE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0E4B"/>
    <w:multiLevelType w:val="hybridMultilevel"/>
    <w:tmpl w:val="108C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A7EF0"/>
    <w:multiLevelType w:val="hybridMultilevel"/>
    <w:tmpl w:val="1EA6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D3BA5"/>
    <w:multiLevelType w:val="hybridMultilevel"/>
    <w:tmpl w:val="52644D1E"/>
    <w:lvl w:ilvl="0" w:tplc="F0104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D453C"/>
    <w:multiLevelType w:val="hybridMultilevel"/>
    <w:tmpl w:val="9EB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6E13"/>
    <w:rsid w:val="0007525A"/>
    <w:rsid w:val="000E313B"/>
    <w:rsid w:val="001F1D44"/>
    <w:rsid w:val="00213646"/>
    <w:rsid w:val="00214E6A"/>
    <w:rsid w:val="00237F55"/>
    <w:rsid w:val="00252A00"/>
    <w:rsid w:val="002769D3"/>
    <w:rsid w:val="002A68EC"/>
    <w:rsid w:val="00306548"/>
    <w:rsid w:val="00352E72"/>
    <w:rsid w:val="00371868"/>
    <w:rsid w:val="00384DED"/>
    <w:rsid w:val="003F1BB3"/>
    <w:rsid w:val="00424BBC"/>
    <w:rsid w:val="004633F8"/>
    <w:rsid w:val="00484B0A"/>
    <w:rsid w:val="004A53FB"/>
    <w:rsid w:val="004E7244"/>
    <w:rsid w:val="00510BDD"/>
    <w:rsid w:val="005844CF"/>
    <w:rsid w:val="005A32CB"/>
    <w:rsid w:val="005B2E73"/>
    <w:rsid w:val="005F7477"/>
    <w:rsid w:val="00660B43"/>
    <w:rsid w:val="006663DD"/>
    <w:rsid w:val="00764898"/>
    <w:rsid w:val="00775DD1"/>
    <w:rsid w:val="0079706C"/>
    <w:rsid w:val="0080796F"/>
    <w:rsid w:val="00817793"/>
    <w:rsid w:val="00846DFE"/>
    <w:rsid w:val="008770CF"/>
    <w:rsid w:val="0089199D"/>
    <w:rsid w:val="008C19BB"/>
    <w:rsid w:val="0090700F"/>
    <w:rsid w:val="00917367"/>
    <w:rsid w:val="009502EA"/>
    <w:rsid w:val="00961B7E"/>
    <w:rsid w:val="00A04377"/>
    <w:rsid w:val="00A341EB"/>
    <w:rsid w:val="00AD1956"/>
    <w:rsid w:val="00AE1A9D"/>
    <w:rsid w:val="00B43850"/>
    <w:rsid w:val="00C01DE3"/>
    <w:rsid w:val="00C13895"/>
    <w:rsid w:val="00C45E09"/>
    <w:rsid w:val="00E01441"/>
    <w:rsid w:val="00E2157C"/>
    <w:rsid w:val="00E32603"/>
    <w:rsid w:val="00E413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FA34"/>
  <w15:chartTrackingRefBased/>
  <w15:docId w15:val="{D8DD4506-8096-473F-8DD1-5C09DFC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477"/>
    <w:pPr>
      <w:ind w:left="720"/>
      <w:contextualSpacing/>
    </w:pPr>
  </w:style>
  <w:style w:type="paragraph" w:styleId="FootnoteText">
    <w:name w:val="footnote text"/>
    <w:basedOn w:val="Normal"/>
    <w:link w:val="FootnoteTextChar"/>
    <w:uiPriority w:val="99"/>
    <w:rsid w:val="00E4135D"/>
    <w:pPr>
      <w:overflowPunct w:val="0"/>
      <w:autoSpaceDE w:val="0"/>
      <w:autoSpaceDN w:val="0"/>
      <w:adjustRightInd w:val="0"/>
      <w:spacing w:before="120" w:after="0" w:line="252" w:lineRule="auto"/>
      <w:ind w:left="567" w:hanging="567"/>
      <w:jc w:val="both"/>
      <w:textAlignment w:val="baseline"/>
    </w:pPr>
    <w:rPr>
      <w:rFonts w:ascii="Tahoma" w:eastAsia="Times New Roman" w:hAnsi="Tahoma" w:cs="Angsana New"/>
      <w:sz w:val="20"/>
      <w:szCs w:val="20"/>
      <w:lang w:val="en-GB"/>
    </w:rPr>
  </w:style>
  <w:style w:type="character" w:customStyle="1" w:styleId="FootnoteTextChar">
    <w:name w:val="Footnote Text Char"/>
    <w:basedOn w:val="DefaultParagraphFont"/>
    <w:link w:val="FootnoteText"/>
    <w:uiPriority w:val="99"/>
    <w:rsid w:val="00E4135D"/>
    <w:rPr>
      <w:rFonts w:ascii="Tahoma" w:eastAsia="Times New Roman" w:hAnsi="Tahoma" w:cs="Angsana New"/>
      <w:sz w:val="20"/>
      <w:szCs w:val="20"/>
      <w:lang w:val="en-GB"/>
    </w:rPr>
  </w:style>
  <w:style w:type="character" w:styleId="FootnoteReference">
    <w:name w:val="footnote reference"/>
    <w:uiPriority w:val="99"/>
    <w:rsid w:val="00E4135D"/>
    <w:rPr>
      <w:vertAlign w:val="superscript"/>
    </w:rPr>
  </w:style>
  <w:style w:type="character" w:styleId="Strong">
    <w:name w:val="Strong"/>
    <w:basedOn w:val="DefaultParagraphFont"/>
    <w:uiPriority w:val="22"/>
    <w:qFormat/>
    <w:rsid w:val="00E4135D"/>
    <w:rPr>
      <w:b/>
      <w:bCs/>
    </w:rPr>
  </w:style>
  <w:style w:type="paragraph" w:styleId="NormalWeb">
    <w:name w:val="Normal (Web)"/>
    <w:basedOn w:val="Normal"/>
    <w:uiPriority w:val="99"/>
    <w:unhideWhenUsed/>
    <w:rsid w:val="00214E6A"/>
    <w:pPr>
      <w:spacing w:before="100" w:beforeAutospacing="1" w:after="100" w:afterAutospacing="1" w:line="240" w:lineRule="auto"/>
    </w:pPr>
    <w:rPr>
      <w:rFonts w:ascii="Calibri" w:hAnsi="Calibri" w:cs="Calibri"/>
      <w:color w:val="00000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5062">
      <w:bodyDiv w:val="1"/>
      <w:marLeft w:val="0"/>
      <w:marRight w:val="0"/>
      <w:marTop w:val="0"/>
      <w:marBottom w:val="0"/>
      <w:divBdr>
        <w:top w:val="none" w:sz="0" w:space="0" w:color="auto"/>
        <w:left w:val="none" w:sz="0" w:space="0" w:color="auto"/>
        <w:bottom w:val="none" w:sz="0" w:space="0" w:color="auto"/>
        <w:right w:val="none" w:sz="0" w:space="0" w:color="auto"/>
      </w:divBdr>
    </w:div>
    <w:div w:id="5808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A76E-AFC7-44A4-9D1D-F364D48B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Talissa Koteka</cp:lastModifiedBy>
  <cp:revision>2</cp:revision>
  <dcterms:created xsi:type="dcterms:W3CDTF">2018-10-26T01:35:00Z</dcterms:created>
  <dcterms:modified xsi:type="dcterms:W3CDTF">2018-10-26T01:35:00Z</dcterms:modified>
</cp:coreProperties>
</file>